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469C" w:rsidRDefault="00000000">
      <w:r>
        <w:rPr>
          <w:rFonts w:ascii="Arimo" w:eastAsia="Arimo" w:hAnsi="Arimo" w:cs="Arimo"/>
          <w:color w:val="2E86C6"/>
          <w:sz w:val="24"/>
          <w:szCs w:val="24"/>
          <w:highlight w:val="white"/>
        </w:rPr>
        <w:t>Appendix 1</w:t>
      </w:r>
    </w:p>
    <w:p w:rsidR="0020469C" w:rsidRDefault="00000000">
      <w:r>
        <w:rPr>
          <w:noProof/>
        </w:rPr>
        <w:drawing>
          <wp:anchor distT="152400" distB="152400" distL="152400" distR="152400" simplePos="0" relativeHeight="251658240" behindDoc="0" locked="0" layoutInCell="1" hidden="0" allowOverlap="1">
            <wp:simplePos x="0" y="0"/>
            <wp:positionH relativeFrom="margin">
              <wp:align>center</wp:align>
            </wp:positionH>
            <wp:positionV relativeFrom="margin">
              <wp:align>top</wp:align>
            </wp:positionV>
            <wp:extent cx="2313183" cy="1417640"/>
            <wp:effectExtent l="0" t="0" r="0" b="0"/>
            <wp:wrapNone/>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
                    <a:srcRect/>
                    <a:stretch>
                      <a:fillRect/>
                    </a:stretch>
                  </pic:blipFill>
                  <pic:spPr>
                    <a:xfrm>
                      <a:off x="0" y="0"/>
                      <a:ext cx="2313183" cy="1417640"/>
                    </a:xfrm>
                    <a:prstGeom prst="rect">
                      <a:avLst/>
                    </a:prstGeom>
                    <a:ln/>
                  </pic:spPr>
                </pic:pic>
              </a:graphicData>
            </a:graphic>
          </wp:anchor>
        </w:drawing>
      </w:r>
    </w:p>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000000">
      <w:r>
        <w:rPr>
          <w:noProof/>
        </w:rPr>
        <mc:AlternateContent>
          <mc:Choice Requires="wpg">
            <w:drawing>
              <wp:anchor distT="152400" distB="152400" distL="152400" distR="152400" simplePos="0" relativeHeight="251659264" behindDoc="0" locked="0" layoutInCell="1" hidden="0" allowOverlap="1">
                <wp:simplePos x="0" y="0"/>
                <wp:positionH relativeFrom="margin">
                  <wp:posOffset>676275</wp:posOffset>
                </wp:positionH>
                <wp:positionV relativeFrom="margin">
                  <wp:posOffset>2143125</wp:posOffset>
                </wp:positionV>
                <wp:extent cx="4594087" cy="5250385"/>
                <wp:effectExtent l="0" t="0" r="0" b="0"/>
                <wp:wrapNone/>
                <wp:docPr id="2" name="Rectangle 2"/>
                <wp:cNvGraphicFramePr/>
                <a:graphic xmlns:a="http://schemas.openxmlformats.org/drawingml/2006/main">
                  <a:graphicData uri="http://schemas.microsoft.com/office/word/2010/wordprocessingShape">
                    <wps:wsp>
                      <wps:cNvSpPr/>
                      <wps:spPr>
                        <a:xfrm>
                          <a:off x="3053719" y="1158593"/>
                          <a:ext cx="4584562" cy="5242815"/>
                        </a:xfrm>
                        <a:prstGeom prst="rect">
                          <a:avLst/>
                        </a:prstGeom>
                        <a:noFill/>
                        <a:ln>
                          <a:noFill/>
                        </a:ln>
                      </wps:spPr>
                      <wps:txbx>
                        <w:txbxContent>
                          <w:p w:rsidR="0020469C" w:rsidRDefault="00000000">
                            <w:pPr>
                              <w:spacing w:line="240" w:lineRule="auto"/>
                              <w:jc w:val="center"/>
                              <w:textDirection w:val="btLr"/>
                            </w:pPr>
                            <w:r>
                              <w:rPr>
                                <w:rFonts w:ascii="Arimo" w:eastAsia="Arimo" w:hAnsi="Arimo" w:cs="Arimo"/>
                                <w:color w:val="2E86C6"/>
                                <w:sz w:val="24"/>
                                <w:highlight w:val="white"/>
                              </w:rPr>
                              <w:t xml:space="preserve">We are five women and one man who between us fit into </w:t>
                            </w:r>
                            <w:r>
                              <w:rPr>
                                <w:rFonts w:ascii="Arimo" w:eastAsia="Arimo" w:hAnsi="Arimo" w:cs="Arimo"/>
                                <w:color w:val="2E86C6"/>
                                <w:sz w:val="24"/>
                                <w:highlight w:val="white"/>
                              </w:rPr>
                              <w:br/>
                              <w:t>one or more of the following categories:</w:t>
                            </w:r>
                          </w:p>
                          <w:p w:rsidR="0020469C" w:rsidRDefault="0020469C">
                            <w:pPr>
                              <w:spacing w:line="240" w:lineRule="auto"/>
                              <w:jc w:val="center"/>
                              <w:textDirection w:val="btLr"/>
                            </w:pPr>
                          </w:p>
                          <w:p w:rsidR="0020469C" w:rsidRDefault="00000000">
                            <w:pPr>
                              <w:spacing w:line="240" w:lineRule="auto"/>
                              <w:jc w:val="center"/>
                              <w:textDirection w:val="btLr"/>
                            </w:pPr>
                            <w:r>
                              <w:rPr>
                                <w:rFonts w:ascii="Arimo" w:eastAsia="Arimo" w:hAnsi="Arimo" w:cs="Arimo"/>
                                <w:color w:val="393939"/>
                                <w:sz w:val="17"/>
                                <w:highlight w:val="white"/>
                              </w:rPr>
                              <w:t>mothers; grandmothers; fathers; teachers; nurses; lawyers; midwives; substance misuse counsellors; healthcare professionals; pharmaceutical representatives: artists; gardeners; bee-keepers; knitters; potters; readers; unpublished writers; dreamers; public speakers; camomile tea drinkers; critical thinkers.</w:t>
                            </w:r>
                          </w:p>
                          <w:p w:rsidR="0020469C" w:rsidRDefault="0020469C">
                            <w:pPr>
                              <w:spacing w:line="240" w:lineRule="auto"/>
                              <w:jc w:val="center"/>
                              <w:textDirection w:val="btLr"/>
                            </w:pPr>
                          </w:p>
                          <w:p w:rsidR="0020469C" w:rsidRDefault="00000000">
                            <w:pPr>
                              <w:spacing w:line="240" w:lineRule="auto"/>
                              <w:jc w:val="center"/>
                              <w:textDirection w:val="btLr"/>
                            </w:pPr>
                            <w:r>
                              <w:rPr>
                                <w:rFonts w:ascii="Arimo" w:eastAsia="Arimo" w:hAnsi="Arimo" w:cs="Arimo"/>
                                <w:color w:val="393939"/>
                                <w:sz w:val="17"/>
                                <w:highlight w:val="white"/>
                              </w:rPr>
                              <w:t xml:space="preserve">In other words, just a bunch of ordinary men and women. </w:t>
                            </w:r>
                            <w:r>
                              <w:rPr>
                                <w:rFonts w:ascii="Arimo" w:eastAsia="Arimo" w:hAnsi="Arimo" w:cs="Arimo"/>
                                <w:color w:val="393939"/>
                                <w:sz w:val="17"/>
                                <w:highlight w:val="white"/>
                              </w:rPr>
                              <w:br/>
                              <w:t>We are, however, ordinary men and women with a mission.</w:t>
                            </w:r>
                          </w:p>
                          <w:p w:rsidR="0020469C" w:rsidRDefault="0020469C">
                            <w:pPr>
                              <w:spacing w:line="240" w:lineRule="auto"/>
                              <w:jc w:val="center"/>
                              <w:textDirection w:val="btLr"/>
                            </w:pPr>
                          </w:p>
                          <w:p w:rsidR="0020469C" w:rsidRDefault="00000000">
                            <w:pPr>
                              <w:spacing w:line="311" w:lineRule="auto"/>
                              <w:jc w:val="center"/>
                              <w:textDirection w:val="btLr"/>
                            </w:pPr>
                            <w:r>
                              <w:rPr>
                                <w:rFonts w:ascii="Arimo" w:eastAsia="Arimo" w:hAnsi="Arimo" w:cs="Arimo"/>
                                <w:color w:val="4191CC"/>
                                <w:sz w:val="24"/>
                                <w:highlight w:val="white"/>
                              </w:rPr>
                              <w:t>Mission Statement:</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We propose to protect children in education.  We intend to keep our children, our grandchildren, our nephews and nieces, children in the care of the state as well as your children and grandchildren safe from gender ideology which is sweeping unchecked through educational establishments, children’s services, children’s clubs and associations, children’s television programs, children’s books and children’s entertainment.</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In order to further our mission we have joined with a large number of interested adults from all walks of life to pursue our stated aims in the most effective ways we can find.  These other adults are welcome associates to Protect&amp;Teach.</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 xml:space="preserve">If you would like to know more or join with our associates </w:t>
                            </w:r>
                          </w:p>
                          <w:p w:rsidR="0020469C" w:rsidRDefault="00000000">
                            <w:pPr>
                              <w:spacing w:line="264" w:lineRule="auto"/>
                              <w:jc w:val="center"/>
                              <w:textDirection w:val="btLr"/>
                            </w:pPr>
                            <w:r>
                              <w:rPr>
                                <w:rFonts w:ascii="Arimo" w:eastAsia="Arimo" w:hAnsi="Arimo" w:cs="Arimo"/>
                                <w:color w:val="393939"/>
                                <w:sz w:val="17"/>
                                <w:highlight w:val="white"/>
                              </w:rPr>
                              <w:t>in pursuing our mission please email us at:</w:t>
                            </w:r>
                          </w:p>
                          <w:p w:rsidR="0020469C" w:rsidRDefault="0020469C">
                            <w:pPr>
                              <w:spacing w:line="264" w:lineRule="auto"/>
                              <w:jc w:val="center"/>
                              <w:textDirection w:val="btLr"/>
                            </w:pPr>
                          </w:p>
                          <w:p w:rsidR="0020469C" w:rsidRDefault="00000000">
                            <w:pPr>
                              <w:spacing w:line="264" w:lineRule="auto"/>
                              <w:jc w:val="center"/>
                              <w:textDirection w:val="btLr"/>
                            </w:pPr>
                            <w:r>
                              <w:rPr>
                                <w:rFonts w:ascii="Arimo" w:eastAsia="Arimo" w:hAnsi="Arimo" w:cs="Arimo"/>
                                <w:color w:val="2682C5"/>
                                <w:sz w:val="17"/>
                                <w:highlight w:val="white"/>
                              </w:rPr>
                              <w:t xml:space="preserve"> </w:t>
                            </w:r>
                            <w:r>
                              <w:rPr>
                                <w:rFonts w:ascii="DM Sans SemiBold" w:eastAsia="DM Sans SemiBold" w:hAnsi="DM Sans SemiBold" w:cs="DM Sans SemiBold"/>
                                <w:b/>
                                <w:color w:val="2682C5"/>
                                <w:sz w:val="17"/>
                                <w:highlight w:val="white"/>
                              </w:rPr>
                              <w:t xml:space="preserve"> </w:t>
                            </w:r>
                          </w:p>
                          <w:p w:rsidR="0020469C" w:rsidRDefault="00000000">
                            <w:pPr>
                              <w:spacing w:line="264" w:lineRule="auto"/>
                              <w:jc w:val="center"/>
                              <w:textDirection w:val="btLr"/>
                            </w:pPr>
                            <w:r>
                              <w:rPr>
                                <w:rFonts w:ascii="DM Sans SemiBold" w:eastAsia="DM Sans SemiBold" w:hAnsi="DM Sans SemiBold" w:cs="DM Sans SemiBold"/>
                                <w:b/>
                                <w:color w:val="2682C5"/>
                                <w:sz w:val="17"/>
                                <w:highlight w:val="white"/>
                              </w:rPr>
                              <w:t>protectteach@gmail.com</w:t>
                            </w:r>
                          </w:p>
                        </w:txbxContent>
                      </wps:txbx>
                      <wps:bodyPr spcFirstLastPara="1" wrap="square" lIns="0" tIns="0" rIns="0" bIns="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52400" distT="152400" distL="152400" distR="152400" hidden="0" layoutInCell="1" locked="0" relativeHeight="0" simplePos="0">
                <wp:simplePos x="0" y="0"/>
                <wp:positionH relativeFrom="margin">
                  <wp:posOffset>676275</wp:posOffset>
                </wp:positionH>
                <wp:positionV relativeFrom="margin">
                  <wp:posOffset>2143125</wp:posOffset>
                </wp:positionV>
                <wp:extent cx="4594087" cy="5250385"/>
                <wp:effectExtent b="0" l="0" r="0" t="0"/>
                <wp:wrapNone/>
                <wp:docPr id="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4594087" cy="5250385"/>
                        </a:xfrm>
                        <a:prstGeom prst="rect"/>
                        <a:ln/>
                      </pic:spPr>
                    </pic:pic>
                  </a:graphicData>
                </a:graphic>
              </wp:anchor>
            </w:drawing>
          </mc:Fallback>
        </mc:AlternateContent>
      </w:r>
    </w:p>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000000">
      <w:r>
        <w:rPr>
          <w:noProof/>
        </w:rPr>
        <w:drawing>
          <wp:anchor distT="152400" distB="152400" distL="152400" distR="152400" simplePos="0" relativeHeight="251660288" behindDoc="0" locked="0" layoutInCell="1" hidden="0" allowOverlap="1">
            <wp:simplePos x="0" y="0"/>
            <wp:positionH relativeFrom="margin">
              <wp:align>center</wp:align>
            </wp:positionH>
            <wp:positionV relativeFrom="margin">
              <wp:align>bottom</wp:align>
            </wp:positionV>
            <wp:extent cx="5624513" cy="107632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624513" cy="1076325"/>
                    </a:xfrm>
                    <a:prstGeom prst="rect">
                      <a:avLst/>
                    </a:prstGeom>
                    <a:ln/>
                  </pic:spPr>
                </pic:pic>
              </a:graphicData>
            </a:graphic>
          </wp:anchor>
        </w:drawing>
      </w:r>
    </w:p>
    <w:p w:rsidR="0020469C" w:rsidRDefault="0020469C"/>
    <w:p w:rsidR="0020469C" w:rsidRDefault="0020469C"/>
    <w:p w:rsidR="0020469C" w:rsidRDefault="0020469C"/>
    <w:p w:rsidR="0020469C" w:rsidRDefault="0020469C"/>
    <w:p w:rsidR="0020469C" w:rsidRDefault="0020469C"/>
    <w:p w:rsidR="0020469C" w:rsidRDefault="0020469C"/>
    <w:p w:rsidR="0020469C" w:rsidRDefault="0020469C"/>
    <w:p w:rsidR="0020469C" w:rsidRDefault="00000000">
      <w:r>
        <w:rPr>
          <w:noProof/>
        </w:rPr>
        <mc:AlternateContent>
          <mc:Choice Requires="wpg">
            <w:drawing>
              <wp:anchor distT="152400" distB="152400" distL="152400" distR="152400" simplePos="0" relativeHeight="251661312" behindDoc="0" locked="0" layoutInCell="1" hidden="0" allowOverlap="1">
                <wp:simplePos x="0" y="0"/>
                <wp:positionH relativeFrom="page">
                  <wp:posOffset>1443038</wp:posOffset>
                </wp:positionH>
                <wp:positionV relativeFrom="page">
                  <wp:posOffset>11941959</wp:posOffset>
                </wp:positionV>
                <wp:extent cx="4594087" cy="5659383"/>
                <wp:effectExtent l="0" t="0" r="0" b="0"/>
                <wp:wrapNone/>
                <wp:docPr id="1" name="Rectangle 1"/>
                <wp:cNvGraphicFramePr/>
                <a:graphic xmlns:a="http://schemas.openxmlformats.org/drawingml/2006/main">
                  <a:graphicData uri="http://schemas.microsoft.com/office/word/2010/wordprocessingShape">
                    <wps:wsp>
                      <wps:cNvSpPr/>
                      <wps:spPr>
                        <a:xfrm>
                          <a:off x="3053725" y="1158600"/>
                          <a:ext cx="4584600" cy="5316900"/>
                        </a:xfrm>
                        <a:prstGeom prst="rect">
                          <a:avLst/>
                        </a:prstGeom>
                        <a:noFill/>
                        <a:ln>
                          <a:noFill/>
                        </a:ln>
                      </wps:spPr>
                      <wps:txbx>
                        <w:txbxContent>
                          <w:p w:rsidR="0020469C" w:rsidRDefault="00000000">
                            <w:pPr>
                              <w:spacing w:line="240" w:lineRule="auto"/>
                              <w:jc w:val="center"/>
                              <w:textDirection w:val="btLr"/>
                            </w:pPr>
                            <w:r>
                              <w:rPr>
                                <w:rFonts w:ascii="Arimo" w:eastAsia="Arimo" w:hAnsi="Arimo" w:cs="Arimo"/>
                                <w:color w:val="2E86C6"/>
                                <w:sz w:val="24"/>
                                <w:highlight w:val="white"/>
                              </w:rPr>
                              <w:t>We reviewed the equality policies of schools in Bristol, and found that 40 out of 117 had fundamentally flawed policies.</w:t>
                            </w:r>
                          </w:p>
                          <w:p w:rsidR="0020469C" w:rsidRDefault="0020469C">
                            <w:pPr>
                              <w:spacing w:line="240" w:lineRule="auto"/>
                              <w:jc w:val="center"/>
                              <w:textDirection w:val="btLr"/>
                            </w:pPr>
                          </w:p>
                          <w:p w:rsidR="0020469C" w:rsidRDefault="00000000">
                            <w:pPr>
                              <w:spacing w:line="240" w:lineRule="auto"/>
                              <w:jc w:val="center"/>
                              <w:textDirection w:val="btLr"/>
                            </w:pPr>
                            <w:r>
                              <w:rPr>
                                <w:rFonts w:ascii="Arimo" w:eastAsia="Arimo" w:hAnsi="Arimo" w:cs="Arimo"/>
                                <w:color w:val="393939"/>
                                <w:sz w:val="24"/>
                                <w:highlight w:val="white"/>
                              </w:rPr>
                              <w:t xml:space="preserve">We continued this research throughout Devon and Cornwall. In Devon, </w:t>
                            </w:r>
                            <w:r>
                              <w:rPr>
                                <w:rFonts w:ascii="Arimo" w:eastAsia="Arimo" w:hAnsi="Arimo" w:cs="Arimo"/>
                                <w:color w:val="2682C5"/>
                                <w:sz w:val="24"/>
                                <w:highlight w:val="white"/>
                              </w:rPr>
                              <w:t>73%</w:t>
                            </w:r>
                            <w:r>
                              <w:rPr>
                                <w:rFonts w:ascii="Arimo" w:eastAsia="Arimo" w:hAnsi="Arimo" w:cs="Arimo"/>
                                <w:color w:val="393939"/>
                                <w:sz w:val="24"/>
                                <w:highlight w:val="white"/>
                              </w:rPr>
                              <w:t xml:space="preserve"> of schools had equally flawed policies, and in Cornwall it was </w:t>
                            </w:r>
                            <w:r>
                              <w:rPr>
                                <w:rFonts w:ascii="Arimo" w:eastAsia="Arimo" w:hAnsi="Arimo" w:cs="Arimo"/>
                                <w:color w:val="2682C5"/>
                                <w:sz w:val="24"/>
                                <w:highlight w:val="white"/>
                              </w:rPr>
                              <w:t>61%</w:t>
                            </w:r>
                            <w:r>
                              <w:rPr>
                                <w:rFonts w:ascii="Arimo" w:eastAsia="Arimo" w:hAnsi="Arimo" w:cs="Arimo"/>
                                <w:color w:val="393939"/>
                                <w:sz w:val="24"/>
                                <w:highlight w:val="white"/>
                              </w:rPr>
                              <w:t xml:space="preserve"> of schools. Of 97 Church of England Schools in Devon, we found only 24 had suitable policies. </w:t>
                            </w:r>
                            <w:r>
                              <w:rPr>
                                <w:rFonts w:ascii="Arimo" w:eastAsia="Arimo" w:hAnsi="Arimo" w:cs="Arimo"/>
                                <w:b/>
                                <w:color w:val="393939"/>
                                <w:sz w:val="24"/>
                                <w:highlight w:val="white"/>
                              </w:rPr>
                              <w:t xml:space="preserve">This means over </w:t>
                            </w:r>
                            <w:r>
                              <w:rPr>
                                <w:rFonts w:ascii="Arimo" w:eastAsia="Arimo" w:hAnsi="Arimo" w:cs="Arimo"/>
                                <w:b/>
                                <w:color w:val="2682C5"/>
                                <w:sz w:val="24"/>
                                <w:highlight w:val="white"/>
                              </w:rPr>
                              <w:t>75%</w:t>
                            </w:r>
                            <w:r>
                              <w:rPr>
                                <w:rFonts w:ascii="Arimo" w:eastAsia="Arimo" w:hAnsi="Arimo" w:cs="Arimo"/>
                                <w:b/>
                                <w:color w:val="393939"/>
                                <w:sz w:val="24"/>
                                <w:highlight w:val="white"/>
                              </w:rPr>
                              <w:t xml:space="preserve"> of Church of England schools had fundamentally problematic policies.</w:t>
                            </w:r>
                          </w:p>
                          <w:p w:rsidR="0020469C" w:rsidRDefault="0020469C">
                            <w:pPr>
                              <w:spacing w:line="240" w:lineRule="auto"/>
                              <w:jc w:val="center"/>
                              <w:textDirection w:val="btLr"/>
                            </w:pPr>
                          </w:p>
                          <w:p w:rsidR="0020469C" w:rsidRDefault="00000000">
                            <w:pPr>
                              <w:spacing w:line="311" w:lineRule="auto"/>
                              <w:jc w:val="center"/>
                              <w:textDirection w:val="btLr"/>
                            </w:pPr>
                            <w:r>
                              <w:rPr>
                                <w:rFonts w:ascii="Arimo" w:eastAsia="Arimo" w:hAnsi="Arimo" w:cs="Arimo"/>
                                <w:color w:val="4191CC"/>
                                <w:sz w:val="24"/>
                                <w:highlight w:val="white"/>
                              </w:rPr>
                              <w:t>The Equality Act 2010</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The Equality Act Protected Characteristics are:</w:t>
                            </w:r>
                          </w:p>
                          <w:p w:rsidR="0020469C" w:rsidRDefault="00000000">
                            <w:pPr>
                              <w:spacing w:line="311" w:lineRule="auto"/>
                              <w:jc w:val="center"/>
                              <w:textDirection w:val="btLr"/>
                            </w:pPr>
                            <w:r>
                              <w:rPr>
                                <w:rFonts w:ascii="Arimo" w:eastAsia="Arimo" w:hAnsi="Arimo" w:cs="Arimo"/>
                                <w:color w:val="393939"/>
                                <w:sz w:val="17"/>
                                <w:highlight w:val="white"/>
                              </w:rPr>
                              <w:t xml:space="preserve"> Age, disability, gender reassignment, marriage and civil partnership, </w:t>
                            </w:r>
                          </w:p>
                          <w:p w:rsidR="0020469C" w:rsidRDefault="00000000">
                            <w:pPr>
                              <w:spacing w:line="311" w:lineRule="auto"/>
                              <w:jc w:val="center"/>
                              <w:textDirection w:val="btLr"/>
                            </w:pPr>
                            <w:r>
                              <w:rPr>
                                <w:rFonts w:ascii="Arimo" w:eastAsia="Arimo" w:hAnsi="Arimo" w:cs="Arimo"/>
                                <w:color w:val="393939"/>
                                <w:sz w:val="17"/>
                                <w:highlight w:val="white"/>
                              </w:rPr>
                              <w:t>pregnancy and maternity, race, religion or belief, sex, sexual orientation</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 xml:space="preserve">A lot of schools have misrepresented the protected characteristics, by replacing sex with “sexual identity” or “gender” for example.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 xml:space="preserve">Further research into the schools showed the scale of indoctrination our children are facing, with policies encouraging binders, mixed sex toilets, changing and boarding if a pupil wants to “socially transition”, keeping secrets from parents, as well as policies which essentially restrict the freedoms of belief and expression of other students and staff.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In the vital Cass Report, Dr Cass states “</w:t>
                            </w:r>
                            <w:r>
                              <w:rPr>
                                <w:rFonts w:ascii="Arimo" w:eastAsia="Arimo" w:hAnsi="Arimo" w:cs="Arimo"/>
                                <w:color w:val="2682C5"/>
                                <w:sz w:val="17"/>
                                <w:highlight w:val="white"/>
                              </w:rPr>
                              <w:t>The importance of what happens in school cannot be underestimated</w:t>
                            </w:r>
                            <w:r>
                              <w:rPr>
                                <w:rFonts w:ascii="Arimo" w:eastAsia="Arimo" w:hAnsi="Arimo" w:cs="Arimo"/>
                                <w:color w:val="393939"/>
                                <w:sz w:val="17"/>
                                <w:highlight w:val="white"/>
                              </w:rPr>
                              <w:t xml:space="preserve">.” and highlights the fact that “...it is important to view (social transition) as an active intervention because it may have </w:t>
                            </w:r>
                            <w:r>
                              <w:rPr>
                                <w:rFonts w:ascii="Arimo" w:eastAsia="Arimo" w:hAnsi="Arimo" w:cs="Arimo"/>
                                <w:color w:val="2682C5"/>
                                <w:sz w:val="17"/>
                                <w:highlight w:val="white"/>
                              </w:rPr>
                              <w:t>significant effects on the child</w:t>
                            </w:r>
                            <w:r>
                              <w:rPr>
                                <w:rFonts w:ascii="Arimo" w:eastAsia="Arimo" w:hAnsi="Arimo" w:cs="Arimo"/>
                                <w:color w:val="393939"/>
                                <w:sz w:val="17"/>
                                <w:highlight w:val="white"/>
                              </w:rPr>
                              <w:t xml:space="preserve"> or young person in terms of their psychological functioning and longer-term outcomes.”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4191CC"/>
                                <w:sz w:val="24"/>
                                <w:highlight w:val="white"/>
                              </w:rPr>
                              <w:t>Schools must follow the law, not Stonewall’s version of the law.</w:t>
                            </w:r>
                          </w:p>
                          <w:p w:rsidR="0020469C" w:rsidRDefault="0020469C">
                            <w:pPr>
                              <w:spacing w:line="264" w:lineRule="auto"/>
                              <w:jc w:val="center"/>
                              <w:textDirection w:val="btLr"/>
                            </w:pPr>
                          </w:p>
                          <w:p w:rsidR="0020469C" w:rsidRDefault="0020469C">
                            <w:pPr>
                              <w:spacing w:line="264" w:lineRule="auto"/>
                              <w:textDirection w:val="btLr"/>
                            </w:pPr>
                          </w:p>
                        </w:txbxContent>
                      </wps:txbx>
                      <wps:bodyPr spcFirstLastPara="1" wrap="square" lIns="0" tIns="0" rIns="0" bIns="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52400" distT="152400" distL="152400" distR="152400" hidden="0" layoutInCell="1" locked="0" relativeHeight="0" simplePos="0">
                <wp:simplePos x="0" y="0"/>
                <wp:positionH relativeFrom="page">
                  <wp:posOffset>1443038</wp:posOffset>
                </wp:positionH>
                <wp:positionV relativeFrom="page">
                  <wp:posOffset>11941959</wp:posOffset>
                </wp:positionV>
                <wp:extent cx="4594087" cy="5659383"/>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4594087" cy="5659383"/>
                        </a:xfrm>
                        <a:prstGeom prst="rect"/>
                        <a:ln/>
                      </pic:spPr>
                    </pic:pic>
                  </a:graphicData>
                </a:graphic>
              </wp:anchor>
            </w:drawing>
          </mc:Fallback>
        </mc:AlternateContent>
      </w:r>
    </w:p>
    <w:p w:rsidR="0020469C" w:rsidRDefault="00000000">
      <w:r>
        <w:rPr>
          <w:noProof/>
        </w:rPr>
        <w:lastRenderedPageBreak/>
        <mc:AlternateContent>
          <mc:Choice Requires="wpg">
            <w:drawing>
              <wp:anchor distT="152400" distB="152400" distL="152400" distR="152400" simplePos="0" relativeHeight="251662336" behindDoc="0" locked="0" layoutInCell="1" hidden="0" allowOverlap="1">
                <wp:simplePos x="0" y="0"/>
                <wp:positionH relativeFrom="margin">
                  <wp:posOffset>676275</wp:posOffset>
                </wp:positionH>
                <wp:positionV relativeFrom="margin">
                  <wp:posOffset>1885950</wp:posOffset>
                </wp:positionV>
                <wp:extent cx="4594087" cy="5659383"/>
                <wp:effectExtent l="0" t="0" r="0" b="0"/>
                <wp:wrapNone/>
                <wp:docPr id="3" name="Rectangle 3"/>
                <wp:cNvGraphicFramePr/>
                <a:graphic xmlns:a="http://schemas.openxmlformats.org/drawingml/2006/main">
                  <a:graphicData uri="http://schemas.microsoft.com/office/word/2010/wordprocessingShape">
                    <wps:wsp>
                      <wps:cNvSpPr/>
                      <wps:spPr>
                        <a:xfrm>
                          <a:off x="3053725" y="1158600"/>
                          <a:ext cx="4584600" cy="5316900"/>
                        </a:xfrm>
                        <a:prstGeom prst="rect">
                          <a:avLst/>
                        </a:prstGeom>
                        <a:noFill/>
                        <a:ln>
                          <a:noFill/>
                        </a:ln>
                      </wps:spPr>
                      <wps:txbx>
                        <w:txbxContent>
                          <w:p w:rsidR="0020469C" w:rsidRDefault="00000000">
                            <w:pPr>
                              <w:spacing w:line="240" w:lineRule="auto"/>
                              <w:jc w:val="center"/>
                              <w:textDirection w:val="btLr"/>
                            </w:pPr>
                            <w:r>
                              <w:rPr>
                                <w:rFonts w:ascii="Arimo" w:eastAsia="Arimo" w:hAnsi="Arimo" w:cs="Arimo"/>
                                <w:color w:val="2E86C6"/>
                                <w:sz w:val="24"/>
                                <w:highlight w:val="white"/>
                              </w:rPr>
                              <w:t>We reviewed the equality policies of schools in Bristol, and found that 40 out of 117 had fundamentally flawed policies.</w:t>
                            </w:r>
                          </w:p>
                          <w:p w:rsidR="0020469C" w:rsidRDefault="0020469C">
                            <w:pPr>
                              <w:spacing w:line="240" w:lineRule="auto"/>
                              <w:jc w:val="center"/>
                              <w:textDirection w:val="btLr"/>
                            </w:pPr>
                          </w:p>
                          <w:p w:rsidR="0020469C" w:rsidRDefault="00000000">
                            <w:pPr>
                              <w:spacing w:line="240" w:lineRule="auto"/>
                              <w:jc w:val="center"/>
                              <w:textDirection w:val="btLr"/>
                            </w:pPr>
                            <w:r>
                              <w:rPr>
                                <w:rFonts w:ascii="Arimo" w:eastAsia="Arimo" w:hAnsi="Arimo" w:cs="Arimo"/>
                                <w:color w:val="393939"/>
                                <w:sz w:val="24"/>
                                <w:highlight w:val="white"/>
                              </w:rPr>
                              <w:t xml:space="preserve">We continued this research throughout Devon and Cornwall. In Devon, </w:t>
                            </w:r>
                            <w:r>
                              <w:rPr>
                                <w:rFonts w:ascii="Arimo" w:eastAsia="Arimo" w:hAnsi="Arimo" w:cs="Arimo"/>
                                <w:color w:val="2682C5"/>
                                <w:sz w:val="24"/>
                                <w:highlight w:val="white"/>
                              </w:rPr>
                              <w:t>73%</w:t>
                            </w:r>
                            <w:r>
                              <w:rPr>
                                <w:rFonts w:ascii="Arimo" w:eastAsia="Arimo" w:hAnsi="Arimo" w:cs="Arimo"/>
                                <w:color w:val="393939"/>
                                <w:sz w:val="24"/>
                                <w:highlight w:val="white"/>
                              </w:rPr>
                              <w:t xml:space="preserve"> of schools had equally flawed policies, and in Cornwall it was </w:t>
                            </w:r>
                            <w:r>
                              <w:rPr>
                                <w:rFonts w:ascii="Arimo" w:eastAsia="Arimo" w:hAnsi="Arimo" w:cs="Arimo"/>
                                <w:color w:val="2682C5"/>
                                <w:sz w:val="24"/>
                                <w:highlight w:val="white"/>
                              </w:rPr>
                              <w:t>61%</w:t>
                            </w:r>
                            <w:r>
                              <w:rPr>
                                <w:rFonts w:ascii="Arimo" w:eastAsia="Arimo" w:hAnsi="Arimo" w:cs="Arimo"/>
                                <w:color w:val="393939"/>
                                <w:sz w:val="24"/>
                                <w:highlight w:val="white"/>
                              </w:rPr>
                              <w:t xml:space="preserve"> of schools. Of 97 Church of England Schools in Devon, we found only 24 had suitable policies. </w:t>
                            </w:r>
                            <w:r>
                              <w:rPr>
                                <w:rFonts w:ascii="Arimo" w:eastAsia="Arimo" w:hAnsi="Arimo" w:cs="Arimo"/>
                                <w:b/>
                                <w:color w:val="393939"/>
                                <w:sz w:val="24"/>
                                <w:highlight w:val="white"/>
                              </w:rPr>
                              <w:t xml:space="preserve">This means over </w:t>
                            </w:r>
                            <w:r>
                              <w:rPr>
                                <w:rFonts w:ascii="Arimo" w:eastAsia="Arimo" w:hAnsi="Arimo" w:cs="Arimo"/>
                                <w:b/>
                                <w:color w:val="2682C5"/>
                                <w:sz w:val="24"/>
                                <w:highlight w:val="white"/>
                              </w:rPr>
                              <w:t>75%</w:t>
                            </w:r>
                            <w:r>
                              <w:rPr>
                                <w:rFonts w:ascii="Arimo" w:eastAsia="Arimo" w:hAnsi="Arimo" w:cs="Arimo"/>
                                <w:b/>
                                <w:color w:val="393939"/>
                                <w:sz w:val="24"/>
                                <w:highlight w:val="white"/>
                              </w:rPr>
                              <w:t xml:space="preserve"> of Church of England schools had fundamentally problematic policies.</w:t>
                            </w:r>
                          </w:p>
                          <w:p w:rsidR="0020469C" w:rsidRDefault="0020469C">
                            <w:pPr>
                              <w:spacing w:line="240" w:lineRule="auto"/>
                              <w:jc w:val="center"/>
                              <w:textDirection w:val="btLr"/>
                            </w:pPr>
                          </w:p>
                          <w:p w:rsidR="0020469C" w:rsidRDefault="00000000">
                            <w:pPr>
                              <w:spacing w:line="311" w:lineRule="auto"/>
                              <w:jc w:val="center"/>
                              <w:textDirection w:val="btLr"/>
                            </w:pPr>
                            <w:r>
                              <w:rPr>
                                <w:rFonts w:ascii="Arimo" w:eastAsia="Arimo" w:hAnsi="Arimo" w:cs="Arimo"/>
                                <w:color w:val="4191CC"/>
                                <w:sz w:val="24"/>
                                <w:highlight w:val="white"/>
                              </w:rPr>
                              <w:t>The Equality Act 2010</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The Equality Act Protected Characteristics are:</w:t>
                            </w:r>
                          </w:p>
                          <w:p w:rsidR="0020469C" w:rsidRDefault="00000000">
                            <w:pPr>
                              <w:spacing w:line="311" w:lineRule="auto"/>
                              <w:jc w:val="center"/>
                              <w:textDirection w:val="btLr"/>
                            </w:pPr>
                            <w:r>
                              <w:rPr>
                                <w:rFonts w:ascii="Arimo" w:eastAsia="Arimo" w:hAnsi="Arimo" w:cs="Arimo"/>
                                <w:color w:val="393939"/>
                                <w:sz w:val="17"/>
                                <w:highlight w:val="white"/>
                              </w:rPr>
                              <w:t xml:space="preserve"> Age, disability, gender reassignment, marriage and civil partnership, </w:t>
                            </w:r>
                          </w:p>
                          <w:p w:rsidR="0020469C" w:rsidRDefault="00000000">
                            <w:pPr>
                              <w:spacing w:line="311" w:lineRule="auto"/>
                              <w:jc w:val="center"/>
                              <w:textDirection w:val="btLr"/>
                            </w:pPr>
                            <w:r>
                              <w:rPr>
                                <w:rFonts w:ascii="Arimo" w:eastAsia="Arimo" w:hAnsi="Arimo" w:cs="Arimo"/>
                                <w:color w:val="393939"/>
                                <w:sz w:val="17"/>
                                <w:highlight w:val="white"/>
                              </w:rPr>
                              <w:t>pregnancy and maternity, race, religion or belief, sex, sexual orientation</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 xml:space="preserve">A lot of schools have misrepresented the protected characteristics, by replacing sex with “sexual identity” or “gender” for example.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 xml:space="preserve">Further research into the schools showed the scale of indoctrination our children are facing, with policies encouraging binders, mixed sex toilets, changing and boarding if a pupil wants to “socially transition”, keeping secrets from parents, as well as policies which essentially restrict the freedoms of belief and expression of other students and staff.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393939"/>
                                <w:sz w:val="17"/>
                                <w:highlight w:val="white"/>
                              </w:rPr>
                              <w:t>In the vital Cass Report, Dr Cass states “</w:t>
                            </w:r>
                            <w:r>
                              <w:rPr>
                                <w:rFonts w:ascii="Arimo" w:eastAsia="Arimo" w:hAnsi="Arimo" w:cs="Arimo"/>
                                <w:color w:val="2682C5"/>
                                <w:sz w:val="17"/>
                                <w:highlight w:val="white"/>
                              </w:rPr>
                              <w:t>The importance of what happens in school cannot be underestimated</w:t>
                            </w:r>
                            <w:r>
                              <w:rPr>
                                <w:rFonts w:ascii="Arimo" w:eastAsia="Arimo" w:hAnsi="Arimo" w:cs="Arimo"/>
                                <w:color w:val="393939"/>
                                <w:sz w:val="17"/>
                                <w:highlight w:val="white"/>
                              </w:rPr>
                              <w:t xml:space="preserve">.” (12.6) and highlights the fact that “...it is important to view (social transition) as an active intervention because it may have </w:t>
                            </w:r>
                            <w:r>
                              <w:rPr>
                                <w:rFonts w:ascii="Arimo" w:eastAsia="Arimo" w:hAnsi="Arimo" w:cs="Arimo"/>
                                <w:color w:val="2682C5"/>
                                <w:sz w:val="17"/>
                                <w:highlight w:val="white"/>
                              </w:rPr>
                              <w:t>significant effects on the child</w:t>
                            </w:r>
                            <w:r>
                              <w:rPr>
                                <w:rFonts w:ascii="Arimo" w:eastAsia="Arimo" w:hAnsi="Arimo" w:cs="Arimo"/>
                                <w:color w:val="393939"/>
                                <w:sz w:val="17"/>
                                <w:highlight w:val="white"/>
                              </w:rPr>
                              <w:t xml:space="preserve"> or young person in terms of their psychological functioning and longer-term outcomes.” (12.5) </w:t>
                            </w:r>
                          </w:p>
                          <w:p w:rsidR="0020469C" w:rsidRDefault="0020469C">
                            <w:pPr>
                              <w:spacing w:line="311" w:lineRule="auto"/>
                              <w:jc w:val="center"/>
                              <w:textDirection w:val="btLr"/>
                            </w:pPr>
                          </w:p>
                          <w:p w:rsidR="0020469C" w:rsidRDefault="00000000">
                            <w:pPr>
                              <w:spacing w:line="311" w:lineRule="auto"/>
                              <w:jc w:val="center"/>
                              <w:textDirection w:val="btLr"/>
                            </w:pPr>
                            <w:r>
                              <w:rPr>
                                <w:rFonts w:ascii="Arimo" w:eastAsia="Arimo" w:hAnsi="Arimo" w:cs="Arimo"/>
                                <w:color w:val="4191CC"/>
                                <w:sz w:val="24"/>
                                <w:highlight w:val="white"/>
                              </w:rPr>
                              <w:t>Schools must follow the law, not Stonewall’s version of the law.</w:t>
                            </w:r>
                          </w:p>
                          <w:p w:rsidR="0020469C" w:rsidRDefault="0020469C">
                            <w:pPr>
                              <w:spacing w:line="264" w:lineRule="auto"/>
                              <w:jc w:val="center"/>
                              <w:textDirection w:val="btLr"/>
                            </w:pPr>
                          </w:p>
                          <w:p w:rsidR="0020469C" w:rsidRDefault="0020469C">
                            <w:pPr>
                              <w:spacing w:line="264" w:lineRule="auto"/>
                              <w:textDirection w:val="btLr"/>
                            </w:pPr>
                          </w:p>
                        </w:txbxContent>
                      </wps:txbx>
                      <wps:bodyPr spcFirstLastPara="1" wrap="square" lIns="0" tIns="0" rIns="0" bIns="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52400" distT="152400" distL="152400" distR="152400" hidden="0" layoutInCell="1" locked="0" relativeHeight="0" simplePos="0">
                <wp:simplePos x="0" y="0"/>
                <wp:positionH relativeFrom="margin">
                  <wp:posOffset>676275</wp:posOffset>
                </wp:positionH>
                <wp:positionV relativeFrom="margin">
                  <wp:posOffset>1885950</wp:posOffset>
                </wp:positionV>
                <wp:extent cx="4594087" cy="5659383"/>
                <wp:effectExtent b="0" l="0" r="0" t="0"/>
                <wp:wrapNone/>
                <wp:docPr id="3"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594087" cy="5659383"/>
                        </a:xfrm>
                        <a:prstGeom prst="rect"/>
                        <a:ln/>
                      </pic:spPr>
                    </pic:pic>
                  </a:graphicData>
                </a:graphic>
              </wp:anchor>
            </w:drawing>
          </mc:Fallback>
        </mc:AlternateContent>
      </w:r>
      <w:r>
        <w:rPr>
          <w:noProof/>
        </w:rPr>
        <w:drawing>
          <wp:anchor distT="152400" distB="152400" distL="152400" distR="152400" simplePos="0" relativeHeight="251663360" behindDoc="0" locked="0" layoutInCell="1" hidden="0" allowOverlap="1">
            <wp:simplePos x="0" y="0"/>
            <wp:positionH relativeFrom="margin">
              <wp:align>center</wp:align>
            </wp:positionH>
            <wp:positionV relativeFrom="margin">
              <wp:align>bottom</wp:align>
            </wp:positionV>
            <wp:extent cx="5624513" cy="1076325"/>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624513" cy="1076325"/>
                    </a:xfrm>
                    <a:prstGeom prst="rect">
                      <a:avLst/>
                    </a:prstGeom>
                    <a:ln/>
                  </pic:spPr>
                </pic:pic>
              </a:graphicData>
            </a:graphic>
          </wp:anchor>
        </w:drawing>
      </w:r>
      <w:r>
        <w:rPr>
          <w:noProof/>
        </w:rPr>
        <w:drawing>
          <wp:anchor distT="152400" distB="152400" distL="152400" distR="152400" simplePos="0" relativeHeight="251664384" behindDoc="0" locked="0" layoutInCell="1" hidden="0" allowOverlap="1">
            <wp:simplePos x="0" y="0"/>
            <wp:positionH relativeFrom="margin">
              <wp:align>center</wp:align>
            </wp:positionH>
            <wp:positionV relativeFrom="margin">
              <wp:align>top</wp:align>
            </wp:positionV>
            <wp:extent cx="2313183" cy="1417640"/>
            <wp:effectExtent l="0" t="0" r="0" b="0"/>
            <wp:wrapNone/>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
                    <a:srcRect/>
                    <a:stretch>
                      <a:fillRect/>
                    </a:stretch>
                  </pic:blipFill>
                  <pic:spPr>
                    <a:xfrm>
                      <a:off x="0" y="0"/>
                      <a:ext cx="2313183" cy="1417640"/>
                    </a:xfrm>
                    <a:prstGeom prst="rect">
                      <a:avLst/>
                    </a:prstGeom>
                    <a:ln/>
                  </pic:spPr>
                </pic:pic>
              </a:graphicData>
            </a:graphic>
          </wp:anchor>
        </w:drawing>
      </w:r>
    </w:p>
    <w:sectPr w:rsidR="0020469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mo">
    <w:charset w:val="00"/>
    <w:family w:val="auto"/>
    <w:pitch w:val="default"/>
  </w:font>
  <w:font w:name="DM Sans SemiBold">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69C"/>
    <w:rsid w:val="0020469C"/>
    <w:rsid w:val="007C34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D7325B48-43EE-8947-829D-7B1C78071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11"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image" Target="media/image1.jpg"/><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Words>
  <Characters>53</Characters>
  <Application>Microsoft Office Word</Application>
  <DocSecurity>0</DocSecurity>
  <Lines>1</Lines>
  <Paragraphs>1</Paragraphs>
  <ScaleCrop>false</ScaleCrop>
  <Company/>
  <LinksUpToDate>false</LinksUpToDate>
  <CharactersWithSpaces>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Stephen Mcnamara</cp:lastModifiedBy>
  <cp:revision>2</cp:revision>
  <dcterms:created xsi:type="dcterms:W3CDTF">2024-05-02T11:45:00Z</dcterms:created>
  <dcterms:modified xsi:type="dcterms:W3CDTF">2024-05-02T11:45:00Z</dcterms:modified>
</cp:coreProperties>
</file>