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22A62" w:rsidRDefault="005D44E6" w:rsidP="005D44E6">
      <w:pPr>
        <w:jc w:val="center"/>
        <w:rPr>
          <w:b/>
          <w:bCs/>
        </w:rPr>
      </w:pPr>
      <w:r>
        <w:rPr>
          <w:b/>
          <w:bCs/>
        </w:rPr>
        <w:t>Appendix 2</w:t>
      </w:r>
    </w:p>
    <w:p w:rsidR="005D44E6" w:rsidRDefault="005D44E6" w:rsidP="005D44E6">
      <w:pPr>
        <w:jc w:val="center"/>
      </w:pPr>
    </w:p>
    <w:p w:rsidR="005D44E6" w:rsidRDefault="005D44E6" w:rsidP="005D44E6">
      <w:r>
        <w:t xml:space="preserve">These are examples of </w:t>
      </w:r>
      <w:r w:rsidR="007655B2">
        <w:t>fundamentally flawed P</w:t>
      </w:r>
      <w:r>
        <w:t>olicies adopted</w:t>
      </w:r>
      <w:r w:rsidR="007655B2">
        <w:t xml:space="preserve"> by MATs</w:t>
      </w:r>
    </w:p>
    <w:p w:rsidR="00E031CD" w:rsidRDefault="00E031CD" w:rsidP="005D44E6"/>
    <w:p w:rsidR="00E031CD" w:rsidRDefault="00E031CD" w:rsidP="005D44E6">
      <w:r>
        <w:t>There will be many other Trusts which have similar or worse policies</w:t>
      </w:r>
    </w:p>
    <w:p w:rsidR="00E031CD" w:rsidRDefault="00E031CD" w:rsidP="005D44E6"/>
    <w:p w:rsidR="00E031CD" w:rsidRDefault="00E031CD" w:rsidP="005D44E6">
      <w:r>
        <w:t xml:space="preserve">These Policies have been  developed </w:t>
      </w:r>
      <w:r w:rsidR="007655B2">
        <w:t>on</w:t>
      </w:r>
      <w:r w:rsidR="007655B2" w:rsidRPr="007655B2">
        <w:t xml:space="preserve"> the basis of </w:t>
      </w:r>
      <w:r w:rsidRPr="007655B2">
        <w:t xml:space="preserve"> </w:t>
      </w:r>
      <w:r w:rsidR="007655B2">
        <w:t>“</w:t>
      </w:r>
      <w:r w:rsidR="007655B2" w:rsidRPr="007655B2">
        <w:t xml:space="preserve">Valuing All God’s Children:  Guidance for Church of England schools on challenging homophobic, </w:t>
      </w:r>
      <w:proofErr w:type="spellStart"/>
      <w:r w:rsidR="007655B2" w:rsidRPr="007655B2">
        <w:t>biphobic</w:t>
      </w:r>
      <w:proofErr w:type="spellEnd"/>
      <w:r w:rsidR="007655B2" w:rsidRPr="007655B2">
        <w:t xml:space="preserve"> and transphobic bullying</w:t>
      </w:r>
      <w:r w:rsidR="007655B2">
        <w:t>”</w:t>
      </w:r>
      <w:r w:rsidR="007655B2" w:rsidRPr="007655B2">
        <w:t xml:space="preserve"> </w:t>
      </w:r>
      <w:r>
        <w:t>and inferences made from the Guidance</w:t>
      </w:r>
    </w:p>
    <w:p w:rsidR="005D44E6" w:rsidRDefault="005D44E6" w:rsidP="005D44E6"/>
    <w:p w:rsidR="005D44E6" w:rsidRPr="000615DB" w:rsidRDefault="005D44E6" w:rsidP="005D44E6">
      <w:pPr>
        <w:pStyle w:val="ListParagraph"/>
        <w:numPr>
          <w:ilvl w:val="0"/>
          <w:numId w:val="1"/>
        </w:numPr>
        <w:rPr>
          <w:b/>
          <w:bCs/>
        </w:rPr>
      </w:pPr>
      <w:r w:rsidRPr="000615DB">
        <w:rPr>
          <w:b/>
          <w:bCs/>
        </w:rPr>
        <w:t>Bath and Wells Multi Academy Trust</w:t>
      </w:r>
      <w:r w:rsidR="00E031CD">
        <w:rPr>
          <w:b/>
          <w:bCs/>
        </w:rPr>
        <w:t xml:space="preserve"> – the threat of disciplinary action</w:t>
      </w:r>
    </w:p>
    <w:p w:rsidR="00404713" w:rsidRDefault="00404713" w:rsidP="00404713"/>
    <w:p w:rsidR="00404713" w:rsidRDefault="00404713" w:rsidP="00404713">
      <w:r>
        <w:t>BWMAT is responsible for 42 schools , 1362 staff and over 8000 pupils</w:t>
      </w:r>
    </w:p>
    <w:p w:rsidR="00404713" w:rsidRDefault="00404713" w:rsidP="00404713">
      <w:r>
        <w:t>In November 2021 it updated its Transgender Pupils Policy (attached)</w:t>
      </w:r>
    </w:p>
    <w:p w:rsidR="00690289" w:rsidRDefault="00690289" w:rsidP="00404713"/>
    <w:p w:rsidR="00404713" w:rsidRDefault="00404713" w:rsidP="00404713"/>
    <w:p w:rsidR="00404713" w:rsidRDefault="00404713" w:rsidP="00404713"/>
    <w:tbl>
      <w:tblPr>
        <w:tblStyle w:val="TableGrid"/>
        <w:tblW w:w="0" w:type="auto"/>
        <w:tblLook w:val="04A0" w:firstRow="1" w:lastRow="0" w:firstColumn="1" w:lastColumn="0" w:noHBand="0" w:noVBand="1"/>
      </w:tblPr>
      <w:tblGrid>
        <w:gridCol w:w="4508"/>
        <w:gridCol w:w="4508"/>
      </w:tblGrid>
      <w:tr w:rsidR="00404713" w:rsidTr="00404713">
        <w:tc>
          <w:tcPr>
            <w:tcW w:w="4508" w:type="dxa"/>
          </w:tcPr>
          <w:p w:rsidR="00404713" w:rsidRDefault="00404713" w:rsidP="00404713">
            <w:pPr>
              <w:jc w:val="center"/>
            </w:pPr>
            <w:r>
              <w:t>The Policy</w:t>
            </w:r>
          </w:p>
        </w:tc>
        <w:tc>
          <w:tcPr>
            <w:tcW w:w="4508" w:type="dxa"/>
          </w:tcPr>
          <w:p w:rsidR="00404713" w:rsidRDefault="00404713" w:rsidP="00404713">
            <w:pPr>
              <w:jc w:val="center"/>
            </w:pPr>
            <w:r>
              <w:t>Comments</w:t>
            </w:r>
          </w:p>
        </w:tc>
      </w:tr>
      <w:tr w:rsidR="00690289" w:rsidTr="00404713">
        <w:tc>
          <w:tcPr>
            <w:tcW w:w="4508" w:type="dxa"/>
          </w:tcPr>
          <w:p w:rsidR="00690289" w:rsidRPr="00404713" w:rsidRDefault="00690289" w:rsidP="00690289">
            <w:r>
              <w:t xml:space="preserve">2 </w:t>
            </w:r>
            <w:hyperlink r:id="rId5" w:history="1">
              <w:r w:rsidRPr="00690289">
                <w:rPr>
                  <w:rStyle w:val="Hyperlink"/>
                </w:rPr>
                <w:t>[The Brighton and Hove ] Trans Inclusion Schools Toolkit 2021</w:t>
              </w:r>
            </w:hyperlink>
            <w:r>
              <w:t xml:space="preserve"> </w:t>
            </w:r>
            <w:r w:rsidRPr="00690289">
              <w:t>is a useful resource for school leaders</w:t>
            </w:r>
            <w:r w:rsidR="00A65C59">
              <w:t xml:space="preserve"> </w:t>
            </w:r>
            <w:r w:rsidRPr="00690289">
              <w:t>and governors in shaping Transgender inclusive culture</w:t>
            </w:r>
          </w:p>
        </w:tc>
        <w:tc>
          <w:tcPr>
            <w:tcW w:w="4508" w:type="dxa"/>
          </w:tcPr>
          <w:p w:rsidR="00690289" w:rsidRDefault="00690289" w:rsidP="00404713">
            <w:r>
              <w:t xml:space="preserve">Please see the advice of </w:t>
            </w:r>
            <w:hyperlink r:id="rId6" w:history="1">
              <w:r w:rsidRPr="00115CFB">
                <w:rPr>
                  <w:rStyle w:val="Hyperlink"/>
                </w:rPr>
                <w:t>Karon Monaghan KC</w:t>
              </w:r>
            </w:hyperlink>
            <w:r>
              <w:t xml:space="preserve"> in respect of the Brighton and Hove Toolkit (attached)</w:t>
            </w:r>
          </w:p>
        </w:tc>
      </w:tr>
      <w:tr w:rsidR="00404713" w:rsidTr="00404713">
        <w:tc>
          <w:tcPr>
            <w:tcW w:w="4508" w:type="dxa"/>
          </w:tcPr>
          <w:p w:rsidR="00404713" w:rsidRPr="00404713" w:rsidRDefault="00404713" w:rsidP="00404713">
            <w:r w:rsidRPr="00404713">
              <w:t>1.1 Transgender’ or ‘trans’ is an umbrella term for people whose gender identity is different from the sex assigned [registered] at birth.</w:t>
            </w:r>
          </w:p>
          <w:p w:rsidR="00404713" w:rsidRDefault="00404713" w:rsidP="00404713"/>
          <w:p w:rsidR="00404713" w:rsidRPr="00404713" w:rsidRDefault="00404713" w:rsidP="00404713">
            <w:r>
              <w:t xml:space="preserve">3.4 </w:t>
            </w:r>
            <w:r w:rsidRPr="00404713">
              <w:t>The Equality Act 2010 ensures legal protection against discrimination, harassment and victimisation (direct or indirect) for everyone under the nine protected characteristics defined in the Act, one of which is Gender Reassignment (also known as Transgender).</w:t>
            </w:r>
          </w:p>
          <w:p w:rsidR="00404713" w:rsidRDefault="00404713" w:rsidP="00404713"/>
        </w:tc>
        <w:tc>
          <w:tcPr>
            <w:tcW w:w="4508" w:type="dxa"/>
          </w:tcPr>
          <w:p w:rsidR="00404713" w:rsidRPr="00404713" w:rsidRDefault="00404713" w:rsidP="00404713">
            <w:r>
              <w:t>Tr</w:t>
            </w:r>
            <w:r w:rsidRPr="00404713">
              <w:t>ansgender” and  “gender identity”  are  not  terms  in the Equality Act. Their meaning is unclear and highly contested.</w:t>
            </w:r>
          </w:p>
          <w:p w:rsidR="00404713" w:rsidRDefault="00404713" w:rsidP="00404713"/>
          <w:p w:rsidR="00A624A4" w:rsidRDefault="00A624A4" w:rsidP="00404713"/>
          <w:p w:rsidR="00A624A4" w:rsidRDefault="00A624A4" w:rsidP="00404713"/>
          <w:p w:rsidR="00A624A4" w:rsidRDefault="00A624A4" w:rsidP="00404713">
            <w:r w:rsidRPr="00A624A4">
              <w:t>Gender reassignment” is equated with “transgender” and then to “gender identity.</w:t>
            </w:r>
          </w:p>
          <w:p w:rsidR="00A624A4" w:rsidRDefault="00A624A4" w:rsidP="00404713"/>
          <w:p w:rsidR="00A624A4" w:rsidRPr="00A624A4" w:rsidRDefault="00A624A4" w:rsidP="00A624A4">
            <w:r w:rsidRPr="00A624A4">
              <w:t>It is essential that the law is accurately stated . The Trust has misrepresented the law. This foundational error infects the whole of the Policy. It results in a Policy which is propaganda for a trans activist ideology.</w:t>
            </w:r>
          </w:p>
          <w:p w:rsidR="00A624A4" w:rsidRDefault="00A624A4" w:rsidP="00404713"/>
        </w:tc>
      </w:tr>
      <w:tr w:rsidR="00404713" w:rsidTr="00404713">
        <w:tc>
          <w:tcPr>
            <w:tcW w:w="4508" w:type="dxa"/>
          </w:tcPr>
          <w:p w:rsidR="00404713" w:rsidRDefault="00A624A4" w:rsidP="00404713">
            <w:r>
              <w:t>The P</w:t>
            </w:r>
            <w:r w:rsidRPr="00A624A4">
              <w:t>olicy uses the terms “gender”, “gender identity”,  “gendered self” and “true gender” throughout.</w:t>
            </w:r>
          </w:p>
        </w:tc>
        <w:tc>
          <w:tcPr>
            <w:tcW w:w="4508" w:type="dxa"/>
          </w:tcPr>
          <w:p w:rsidR="00404713" w:rsidRDefault="00000000" w:rsidP="00A624A4">
            <w:pPr>
              <w:rPr>
                <w:rStyle w:val="Hyperlink"/>
                <w:color w:val="000000" w:themeColor="text1"/>
                <w:u w:val="none"/>
              </w:rPr>
            </w:pPr>
            <w:hyperlink r:id="rId7" w:tgtFrame="_blank" w:history="1">
              <w:r w:rsidR="00A624A4">
                <w:rPr>
                  <w:rStyle w:val="Hyperlink"/>
                  <w:color w:val="954F72"/>
                </w:rPr>
                <w:t>The Public Sector Equality Duty: guidance for public authorities</w:t>
              </w:r>
            </w:hyperlink>
            <w:r w:rsidR="00A624A4">
              <w:rPr>
                <w:rStyle w:val="Hyperlink"/>
                <w:color w:val="954F72"/>
              </w:rPr>
              <w:t xml:space="preserve"> </w:t>
            </w:r>
            <w:r w:rsidR="00A624A4" w:rsidRPr="00A624A4">
              <w:rPr>
                <w:rStyle w:val="Hyperlink"/>
                <w:color w:val="000000" w:themeColor="text1"/>
                <w:u w:val="none"/>
              </w:rPr>
              <w:t>states</w:t>
            </w:r>
          </w:p>
          <w:p w:rsidR="00A624A4" w:rsidRPr="00A624A4" w:rsidRDefault="00A624A4" w:rsidP="00A624A4">
            <w:r>
              <w:rPr>
                <w:i/>
                <w:iCs/>
              </w:rPr>
              <w:t xml:space="preserve">[Schools] </w:t>
            </w:r>
            <w:r w:rsidRPr="00A624A4">
              <w:rPr>
                <w:i/>
                <w:iCs/>
              </w:rPr>
              <w:t>should not use  concepts such as gender or gender identity, which are not encoded in the Act and can be understood in different ways. </w:t>
            </w:r>
          </w:p>
        </w:tc>
      </w:tr>
      <w:tr w:rsidR="00404713" w:rsidTr="00404713">
        <w:tc>
          <w:tcPr>
            <w:tcW w:w="4508" w:type="dxa"/>
          </w:tcPr>
          <w:p w:rsidR="00A624A4" w:rsidRPr="00A624A4" w:rsidRDefault="00A624A4" w:rsidP="00A624A4">
            <w:r>
              <w:t xml:space="preserve">3.4 </w:t>
            </w:r>
            <w:r w:rsidRPr="00A624A4">
              <w:t xml:space="preserve">Everyone has the right to their own beliefs whether based in faith or another other philosophical system, but it is the position of our Trust that the expression of the belief that sex and gender are unchangeable, when heard or seen by pupils, colleagues, parents, carers and other visitors to our schools, is damaging to those affected by gender dysphoria. Such expression is likely to amount to breach of </w:t>
            </w:r>
            <w:r w:rsidRPr="00A624A4">
              <w:lastRenderedPageBreak/>
              <w:t xml:space="preserve">the Equalities Act </w:t>
            </w:r>
            <w:r>
              <w:t xml:space="preserve">[sic] </w:t>
            </w:r>
            <w:r w:rsidRPr="00A624A4">
              <w:t xml:space="preserve">according to recent legal judgement.  </w:t>
            </w:r>
          </w:p>
          <w:p w:rsidR="00404713" w:rsidRDefault="00404713" w:rsidP="00404713"/>
        </w:tc>
        <w:tc>
          <w:tcPr>
            <w:tcW w:w="4508" w:type="dxa"/>
          </w:tcPr>
          <w:p w:rsidR="00404713" w:rsidRDefault="00A624A4" w:rsidP="00404713">
            <w:r w:rsidRPr="00A624A4">
              <w:lastRenderedPageBreak/>
              <w:t xml:space="preserve">This implies that if any of </w:t>
            </w:r>
            <w:r>
              <w:t xml:space="preserve">the </w:t>
            </w:r>
            <w:r w:rsidRPr="00A624A4">
              <w:t xml:space="preserve"> 13</w:t>
            </w:r>
            <w:r>
              <w:t>62</w:t>
            </w:r>
            <w:r w:rsidRPr="00A624A4">
              <w:t xml:space="preserve"> staff say (in appropriate circumstances and in an appropriate manner) that sex is binary and immutable, or that they do not believe that anyone has a gender identity or that they thought trans ideology trades in sexual stereotypes etc </w:t>
            </w:r>
            <w:proofErr w:type="spellStart"/>
            <w:r w:rsidRPr="00A624A4">
              <w:t>etc</w:t>
            </w:r>
            <w:proofErr w:type="spellEnd"/>
            <w:r w:rsidRPr="00A624A4">
              <w:t xml:space="preserve">  that they would be at risk of disciplinary action</w:t>
            </w:r>
          </w:p>
          <w:p w:rsidR="00126870" w:rsidRDefault="00126870" w:rsidP="00404713"/>
          <w:p w:rsidR="00126870" w:rsidRDefault="00126870" w:rsidP="00126870">
            <w:r>
              <w:lastRenderedPageBreak/>
              <w:t>Note: following representations by Protect and Teach the Policy was withdrawn in January 2024 but staff have not been informed of the right to express gender critical views without fear of disciplinary sanction</w:t>
            </w:r>
          </w:p>
          <w:p w:rsidR="00126870" w:rsidRDefault="00126870" w:rsidP="00404713"/>
        </w:tc>
      </w:tr>
      <w:tr w:rsidR="00404713" w:rsidTr="00404713">
        <w:tc>
          <w:tcPr>
            <w:tcW w:w="4508" w:type="dxa"/>
          </w:tcPr>
          <w:p w:rsidR="00A624A4" w:rsidRPr="00A624A4" w:rsidRDefault="00A624A4" w:rsidP="00A624A4">
            <w:pPr>
              <w:rPr>
                <w:i/>
                <w:iCs/>
              </w:rPr>
            </w:pPr>
            <w:r>
              <w:t xml:space="preserve">12 </w:t>
            </w:r>
            <w:r w:rsidRPr="00A624A4">
              <w:t>The school must take reasonable, practical steps to create access to toilets that corresponds to the pupil’s gender identity</w:t>
            </w:r>
          </w:p>
          <w:p w:rsidR="00404713" w:rsidRDefault="00404713" w:rsidP="00404713"/>
        </w:tc>
        <w:tc>
          <w:tcPr>
            <w:tcW w:w="4508" w:type="dxa"/>
          </w:tcPr>
          <w:p w:rsidR="00A624A4" w:rsidRPr="00A624A4" w:rsidRDefault="00A624A4" w:rsidP="00A624A4">
            <w:r w:rsidRPr="00A624A4">
              <w:t xml:space="preserve">This is wrong:  the statutory obligation is to provide single -sex facilities and the legal meaning of sex is solely biological for under-18s. Please see </w:t>
            </w:r>
            <w:hyperlink r:id="rId8" w:history="1">
              <w:r w:rsidRPr="00A624A4">
                <w:rPr>
                  <w:rStyle w:val="Hyperlink"/>
                </w:rPr>
                <w:t>Briefing: What head teachers need to know about the updated technical guidance on the Equality Act 2010 from the Equality and Human Rights Commission for schools in England</w:t>
              </w:r>
            </w:hyperlink>
            <w:r w:rsidRPr="00A624A4">
              <w:rPr>
                <w:u w:val="single"/>
              </w:rPr>
              <w:t>.</w:t>
            </w:r>
          </w:p>
          <w:p w:rsidR="00404713" w:rsidRDefault="00404713" w:rsidP="00404713"/>
        </w:tc>
      </w:tr>
      <w:tr w:rsidR="00A624A4" w:rsidTr="00404713">
        <w:tc>
          <w:tcPr>
            <w:tcW w:w="4508" w:type="dxa"/>
          </w:tcPr>
          <w:p w:rsidR="00A624A4" w:rsidRPr="00A624A4" w:rsidRDefault="00A624A4" w:rsidP="00A624A4">
            <w:pPr>
              <w:rPr>
                <w:i/>
                <w:iCs/>
              </w:rPr>
            </w:pPr>
            <w:r>
              <w:t xml:space="preserve">12 </w:t>
            </w:r>
            <w:r w:rsidRPr="00A624A4">
              <w:t>In most cases, trans* pupils or pupils should have access to the changing room that corresponds to their gender identity. This approach is underpinned by the Equality Act 2010 whereby refusing a child or young person access to the changing room of their true gender identity would constitute an act of discrimination</w:t>
            </w:r>
          </w:p>
          <w:p w:rsidR="00A624A4" w:rsidRDefault="00A624A4" w:rsidP="00A624A4"/>
        </w:tc>
        <w:tc>
          <w:tcPr>
            <w:tcW w:w="4508" w:type="dxa"/>
          </w:tcPr>
          <w:p w:rsidR="00A624A4" w:rsidRPr="00A624A4" w:rsidRDefault="00A624A4" w:rsidP="00A624A4">
            <w:r w:rsidRPr="00A624A4">
              <w:t>This is wrong. A person with the protected characteristic of gender reassignment has Equality Act protections. The Equality Act does not provide protection for “gender identity” or  “true gender identity”</w:t>
            </w:r>
          </w:p>
          <w:p w:rsidR="00A624A4" w:rsidRPr="00A624A4" w:rsidRDefault="00A624A4" w:rsidP="00A624A4"/>
          <w:p w:rsidR="00A624A4" w:rsidRPr="00A624A4" w:rsidRDefault="00A624A4" w:rsidP="00A624A4">
            <w:r w:rsidRPr="00A624A4">
              <w:t xml:space="preserve">Your Policy  has the implication that if a 15 year old boy asserts that his  gender identity is female that he should use the girl’s changing rooms. </w:t>
            </w:r>
          </w:p>
          <w:p w:rsidR="00A624A4" w:rsidRPr="00A624A4" w:rsidRDefault="00A624A4" w:rsidP="00A624A4"/>
        </w:tc>
      </w:tr>
      <w:tr w:rsidR="00A624A4" w:rsidTr="00404713">
        <w:tc>
          <w:tcPr>
            <w:tcW w:w="4508" w:type="dxa"/>
          </w:tcPr>
          <w:p w:rsidR="00A624A4" w:rsidRPr="00A624A4" w:rsidRDefault="00A624A4" w:rsidP="00A624A4">
            <w:r>
              <w:t>17</w:t>
            </w:r>
            <w:r w:rsidRPr="00A624A4">
              <w:rPr>
                <w:i/>
                <w:iCs/>
              </w:rPr>
              <w:t xml:space="preserve"> </w:t>
            </w:r>
            <w:r w:rsidRPr="00A624A4">
              <w:t>My daughter doesn’t want a boy changing next to her, what if he looks at her body?</w:t>
            </w:r>
            <w:r w:rsidRPr="00A624A4">
              <w:br/>
              <w:t>For example, in this scenario it would not be appropriate to remove the trans* person from the changing rooms if a concern is raised by a parent or carer. In this situation, it would be far more appropriate to look at offering an alternative changing arrangement for the child who feels uncomfortable around the trans* person. A Human Rights response would be to state that although the individual in question may have the body of a boy, they are in every other respect a girl and as such have the right under the Equality Act to change with the girls and to be treated fairly as such. It is the responsibility of members of staff to support both trans* pupils and cisgender pupils to feel comfortable around one another.</w:t>
            </w:r>
          </w:p>
          <w:p w:rsidR="00A624A4" w:rsidRDefault="00A624A4" w:rsidP="00A624A4"/>
        </w:tc>
        <w:tc>
          <w:tcPr>
            <w:tcW w:w="4508" w:type="dxa"/>
          </w:tcPr>
          <w:p w:rsidR="00A624A4" w:rsidRPr="00A624A4" w:rsidRDefault="00A624A4" w:rsidP="00A624A4">
            <w:pPr>
              <w:rPr>
                <w:i/>
                <w:iCs/>
              </w:rPr>
            </w:pPr>
          </w:p>
          <w:p w:rsidR="00A624A4" w:rsidRPr="00A624A4" w:rsidRDefault="00A624A4" w:rsidP="00A624A4">
            <w:r w:rsidRPr="00A624A4">
              <w:t xml:space="preserve">This is muddled.. A boy who has the protected characteristic does not become a girl . Boys do  not have to right to change with the girls. Please see </w:t>
            </w:r>
            <w:hyperlink r:id="rId9" w:history="1">
              <w:r w:rsidRPr="00A624A4">
                <w:rPr>
                  <w:rStyle w:val="Hyperlink"/>
                </w:rPr>
                <w:t>the EHRC Guidance</w:t>
              </w:r>
            </w:hyperlink>
          </w:p>
          <w:p w:rsidR="00A624A4" w:rsidRPr="00A624A4" w:rsidRDefault="00A624A4" w:rsidP="00A624A4"/>
        </w:tc>
      </w:tr>
    </w:tbl>
    <w:p w:rsidR="00404713" w:rsidRDefault="00404713" w:rsidP="00404713"/>
    <w:p w:rsidR="00E031CD" w:rsidRDefault="00E031CD" w:rsidP="00404713"/>
    <w:p w:rsidR="00E031CD" w:rsidRDefault="00E031CD" w:rsidP="00404713"/>
    <w:p w:rsidR="00E031CD" w:rsidRDefault="00E031CD" w:rsidP="00404713"/>
    <w:p w:rsidR="00E031CD" w:rsidRDefault="00E031CD" w:rsidP="00404713"/>
    <w:p w:rsidR="00E031CD" w:rsidRDefault="00E031CD" w:rsidP="00404713"/>
    <w:p w:rsidR="00E031CD" w:rsidRDefault="00E031CD" w:rsidP="00404713"/>
    <w:p w:rsidR="000615DB" w:rsidRDefault="000615DB" w:rsidP="00404713"/>
    <w:p w:rsidR="000615DB" w:rsidRDefault="000615DB" w:rsidP="000615DB">
      <w:pPr>
        <w:pStyle w:val="ListParagraph"/>
        <w:numPr>
          <w:ilvl w:val="0"/>
          <w:numId w:val="1"/>
        </w:numPr>
        <w:rPr>
          <w:b/>
          <w:bCs/>
        </w:rPr>
      </w:pPr>
      <w:r>
        <w:rPr>
          <w:b/>
          <w:bCs/>
        </w:rPr>
        <w:t xml:space="preserve">An </w:t>
      </w:r>
      <w:proofErr w:type="spellStart"/>
      <w:r>
        <w:rPr>
          <w:b/>
          <w:bCs/>
        </w:rPr>
        <w:t>Daras</w:t>
      </w:r>
      <w:proofErr w:type="spellEnd"/>
      <w:r>
        <w:rPr>
          <w:b/>
          <w:bCs/>
        </w:rPr>
        <w:t xml:space="preserve"> Multi Academy Trust</w:t>
      </w:r>
      <w:r w:rsidR="00E031CD">
        <w:rPr>
          <w:b/>
          <w:bCs/>
        </w:rPr>
        <w:t xml:space="preserve"> – a fundamental safeguarding failure</w:t>
      </w:r>
    </w:p>
    <w:p w:rsidR="000615DB" w:rsidRDefault="000615DB" w:rsidP="000615DB">
      <w:pPr>
        <w:rPr>
          <w:b/>
          <w:bCs/>
        </w:rPr>
      </w:pPr>
    </w:p>
    <w:p w:rsidR="000615DB" w:rsidRDefault="000615DB" w:rsidP="000615DB">
      <w:pPr>
        <w:rPr>
          <w:b/>
          <w:bCs/>
        </w:rPr>
      </w:pPr>
    </w:p>
    <w:p w:rsidR="000615DB" w:rsidRDefault="000615DB" w:rsidP="000615DB">
      <w:r>
        <w:t xml:space="preserve">ADMAT is responsible for 9 </w:t>
      </w:r>
      <w:r w:rsidR="00E031CD">
        <w:t xml:space="preserve">primary </w:t>
      </w:r>
      <w:r>
        <w:t>schools. In September 2022 it updated its LGBTQ+ Policy</w:t>
      </w:r>
    </w:p>
    <w:p w:rsidR="000615DB" w:rsidRDefault="000615DB" w:rsidP="000615DB"/>
    <w:tbl>
      <w:tblPr>
        <w:tblStyle w:val="TableGrid"/>
        <w:tblW w:w="0" w:type="auto"/>
        <w:tblLook w:val="04A0" w:firstRow="1" w:lastRow="0" w:firstColumn="1" w:lastColumn="0" w:noHBand="0" w:noVBand="1"/>
      </w:tblPr>
      <w:tblGrid>
        <w:gridCol w:w="4508"/>
        <w:gridCol w:w="4508"/>
      </w:tblGrid>
      <w:tr w:rsidR="000615DB" w:rsidTr="000615DB">
        <w:tc>
          <w:tcPr>
            <w:tcW w:w="4508" w:type="dxa"/>
          </w:tcPr>
          <w:p w:rsidR="000615DB" w:rsidRDefault="000615DB" w:rsidP="000615DB">
            <w:pPr>
              <w:jc w:val="center"/>
            </w:pPr>
            <w:r>
              <w:t>The Policy</w:t>
            </w:r>
          </w:p>
        </w:tc>
        <w:tc>
          <w:tcPr>
            <w:tcW w:w="4508" w:type="dxa"/>
          </w:tcPr>
          <w:p w:rsidR="000615DB" w:rsidRDefault="000615DB" w:rsidP="000615DB">
            <w:pPr>
              <w:jc w:val="center"/>
            </w:pPr>
            <w:r>
              <w:t>Comments</w:t>
            </w:r>
          </w:p>
        </w:tc>
      </w:tr>
      <w:tr w:rsidR="000615DB" w:rsidTr="000615DB">
        <w:tc>
          <w:tcPr>
            <w:tcW w:w="4508" w:type="dxa"/>
          </w:tcPr>
          <w:p w:rsidR="005C033F" w:rsidRPr="005C033F" w:rsidRDefault="005C033F" w:rsidP="005C033F">
            <w:r w:rsidRPr="005C033F">
              <w:t xml:space="preserve">This policy has been created with an aim to consistently reduce stigmatisation and improve the experiences of individuals who identify as lesbian, gay, bisexual, transgender, queer, or other protected identities (LGBTQ+). </w:t>
            </w:r>
          </w:p>
          <w:p w:rsidR="000615DB" w:rsidRDefault="000615DB" w:rsidP="000615DB"/>
        </w:tc>
        <w:tc>
          <w:tcPr>
            <w:tcW w:w="4508" w:type="dxa"/>
          </w:tcPr>
          <w:p w:rsidR="000615DB" w:rsidRDefault="005C033F" w:rsidP="000615DB">
            <w:r>
              <w:t>The Policy uses “gender’ and “gender identity” in breach of statutory guidance</w:t>
            </w:r>
          </w:p>
          <w:p w:rsidR="005C033F" w:rsidRDefault="005C033F" w:rsidP="000615DB"/>
          <w:p w:rsidR="005C033F" w:rsidRDefault="005C033F" w:rsidP="000615DB">
            <w:r>
              <w:t>The relevant protected characteristic is “gender realignment”. The Policy usage of “protected identit</w:t>
            </w:r>
            <w:r w:rsidR="007655B2">
              <w:t>i</w:t>
            </w:r>
            <w:r>
              <w:t>es” serves to confuse and mislead</w:t>
            </w:r>
          </w:p>
        </w:tc>
      </w:tr>
      <w:tr w:rsidR="000615DB" w:rsidTr="000615DB">
        <w:tc>
          <w:tcPr>
            <w:tcW w:w="4508" w:type="dxa"/>
          </w:tcPr>
          <w:p w:rsidR="005C033F" w:rsidRDefault="005C033F" w:rsidP="005C033F">
            <w:pPr>
              <w:pStyle w:val="NormalWeb"/>
            </w:pPr>
            <w:r>
              <w:rPr>
                <w:rFonts w:ascii="Calibri" w:hAnsi="Calibri" w:cs="Calibri"/>
              </w:rPr>
              <w:t>Adhere to relevant statutory legislation concerning bullying …</w:t>
            </w:r>
          </w:p>
          <w:p w:rsidR="000615DB" w:rsidRDefault="000615DB" w:rsidP="000615DB"/>
        </w:tc>
        <w:tc>
          <w:tcPr>
            <w:tcW w:w="4508" w:type="dxa"/>
          </w:tcPr>
          <w:p w:rsidR="005C033F" w:rsidRPr="005C033F" w:rsidRDefault="005C033F" w:rsidP="005C033F">
            <w:r w:rsidRPr="005C033F">
              <w:t xml:space="preserve">There is no  consideration of children who do not accept the trans activist position.  See </w:t>
            </w:r>
            <w:hyperlink r:id="rId10" w:history="1">
              <w:r w:rsidRPr="005C033F">
                <w:rPr>
                  <w:rStyle w:val="Hyperlink"/>
                </w:rPr>
                <w:t>Keeping children safe in education 2023 Statutory guidance for schools and colleges</w:t>
              </w:r>
            </w:hyperlink>
            <w:r w:rsidRPr="005C033F">
              <w:t xml:space="preserve"> </w:t>
            </w:r>
          </w:p>
          <w:p w:rsidR="005C033F" w:rsidRPr="005C033F" w:rsidRDefault="005C033F" w:rsidP="005C033F"/>
          <w:p w:rsidR="005C033F" w:rsidRPr="005C033F" w:rsidRDefault="005C033F" w:rsidP="005C033F">
            <w:pPr>
              <w:rPr>
                <w:i/>
                <w:iCs/>
              </w:rPr>
            </w:pPr>
            <w:r w:rsidRPr="005C033F">
              <w:rPr>
                <w:i/>
                <w:iCs/>
              </w:rPr>
              <w:t xml:space="preserve">28 Emotional </w:t>
            </w:r>
            <w:proofErr w:type="gramStart"/>
            <w:r w:rsidRPr="005C033F">
              <w:rPr>
                <w:i/>
                <w:iCs/>
              </w:rPr>
              <w:t>abuse</w:t>
            </w:r>
            <w:proofErr w:type="gramEnd"/>
            <w:r w:rsidRPr="005C033F">
              <w:rPr>
                <w:i/>
                <w:iCs/>
              </w:rPr>
              <w:t>: the persistent emotional maltreatment of a child such as to cause severe and adverse effects on the child’s emotional development ….It may include not giving the child opportunities to express their views, deliberately silencing them or ‘making fun’ of what they say …</w:t>
            </w:r>
          </w:p>
          <w:p w:rsidR="005C033F" w:rsidRPr="005C033F" w:rsidRDefault="005C033F" w:rsidP="005C033F"/>
          <w:p w:rsidR="005C033F" w:rsidRPr="005C033F" w:rsidRDefault="005C033F" w:rsidP="005C033F">
            <w:r w:rsidRPr="005C033F">
              <w:t>This is a safeguarding issue for your schools. We know of numerous children who are afraid to express gender critical views. This is emotional abuse which you condone</w:t>
            </w:r>
          </w:p>
          <w:p w:rsidR="005C033F" w:rsidRPr="005C033F" w:rsidRDefault="005C033F" w:rsidP="005C033F"/>
          <w:p w:rsidR="005C033F" w:rsidRPr="005C033F" w:rsidRDefault="005C033F" w:rsidP="005C033F">
            <w:r w:rsidRPr="005C033F">
              <w:t>We know of children who have been bullied for expressing gender critical views</w:t>
            </w:r>
          </w:p>
          <w:p w:rsidR="000615DB" w:rsidRDefault="000615DB" w:rsidP="000615DB"/>
        </w:tc>
      </w:tr>
      <w:tr w:rsidR="000615DB" w:rsidTr="000615DB">
        <w:tc>
          <w:tcPr>
            <w:tcW w:w="4508" w:type="dxa"/>
          </w:tcPr>
          <w:p w:rsidR="005C033F" w:rsidRDefault="005C033F" w:rsidP="005C033F">
            <w:pPr>
              <w:pStyle w:val="ListParagraph"/>
              <w:numPr>
                <w:ilvl w:val="0"/>
                <w:numId w:val="1"/>
              </w:numPr>
            </w:pPr>
            <w:r w:rsidRPr="005C033F">
              <w:t xml:space="preserve">All members of the Trust community will be responsible for: </w:t>
            </w:r>
          </w:p>
          <w:p w:rsidR="005C033F" w:rsidRDefault="005C033F" w:rsidP="005C033F">
            <w:pPr>
              <w:pStyle w:val="ListParagraph"/>
            </w:pPr>
            <w:r>
              <w:t>Respecting [a pupil’s] right to privacy and not disclosing a [their] LGBT+ identity to …[their]parents</w:t>
            </w:r>
          </w:p>
          <w:p w:rsidR="008764EC" w:rsidRDefault="008764EC" w:rsidP="005C033F">
            <w:pPr>
              <w:pStyle w:val="ListParagraph"/>
            </w:pPr>
          </w:p>
          <w:p w:rsidR="008764EC" w:rsidRPr="008764EC" w:rsidRDefault="008764EC" w:rsidP="008764EC">
            <w:pPr>
              <w:pStyle w:val="ListParagraph"/>
              <w:numPr>
                <w:ilvl w:val="0"/>
                <w:numId w:val="1"/>
              </w:numPr>
            </w:pPr>
            <w:r w:rsidRPr="008764EC">
              <w:t xml:space="preserve">Where LGBTQ+ pupils wish to talk to a member of the Trust pastoral team / SLT the team will discuss the support available with the pupil and, where appropriate and with the pupil’s consent, involve the headteacher and the pupil’s parents in discussions of this support. </w:t>
            </w:r>
          </w:p>
          <w:p w:rsidR="008764EC" w:rsidRDefault="008764EC" w:rsidP="008764EC">
            <w:pPr>
              <w:pStyle w:val="ListParagraph"/>
            </w:pPr>
          </w:p>
          <w:p w:rsidR="008764EC" w:rsidRPr="008764EC" w:rsidRDefault="008764EC" w:rsidP="008764EC">
            <w:pPr>
              <w:pStyle w:val="ListParagraph"/>
            </w:pPr>
            <w:r w:rsidRPr="008764EC">
              <w:t xml:space="preserve">Any communication, consultation or discussion with a pupil’s parents regarding their child’s LGBTQ+ identity will only be undertaken with the pupil’s consent </w:t>
            </w:r>
          </w:p>
          <w:p w:rsidR="008764EC" w:rsidRDefault="008764EC" w:rsidP="00E174C2">
            <w:pPr>
              <w:pStyle w:val="ListParagraph"/>
              <w:numPr>
                <w:ilvl w:val="0"/>
                <w:numId w:val="1"/>
              </w:numPr>
            </w:pPr>
            <w:r w:rsidRPr="008764EC">
              <w:t>At no point will any member of staff disclose information regarding an LGBTQ+ person’s gender identity, gender expression or sexuality, unless instructed to do so by the individual,</w:t>
            </w:r>
            <w:r w:rsidR="000251EE">
              <w:t>..</w:t>
            </w:r>
            <w:r w:rsidRPr="008764EC">
              <w:t xml:space="preserve"> </w:t>
            </w:r>
          </w:p>
          <w:p w:rsidR="00E174C2" w:rsidRPr="00E174C2" w:rsidRDefault="00E174C2" w:rsidP="00E174C2">
            <w:pPr>
              <w:pStyle w:val="ListParagraph"/>
              <w:numPr>
                <w:ilvl w:val="0"/>
                <w:numId w:val="1"/>
              </w:numPr>
            </w:pPr>
            <w:r w:rsidRPr="00E174C2">
              <w:t xml:space="preserve">Where appropriate, and with the consent of the individual involved, the Trust will put a transition care plan in place to support trans individuals during their transition. </w:t>
            </w:r>
          </w:p>
          <w:p w:rsidR="00E174C2" w:rsidRPr="00E174C2" w:rsidRDefault="00E174C2" w:rsidP="00E174C2">
            <w:pPr>
              <w:pStyle w:val="ListParagraph"/>
            </w:pPr>
            <w:r w:rsidRPr="00E174C2">
              <w:t xml:space="preserve">Transition care plans for pupils will be created by the headteacher in conjunction with the pupil and, where appropriate and with the pupil’s consent, their parents. If preferred, the pupil may request that their parents are not involved. </w:t>
            </w:r>
          </w:p>
          <w:p w:rsidR="00E174C2" w:rsidRPr="008764EC" w:rsidRDefault="00E174C2" w:rsidP="008764EC">
            <w:pPr>
              <w:pStyle w:val="ListParagraph"/>
            </w:pPr>
          </w:p>
          <w:p w:rsidR="008764EC" w:rsidRPr="005C033F" w:rsidRDefault="008764EC" w:rsidP="008764EC">
            <w:pPr>
              <w:pStyle w:val="ListParagraph"/>
              <w:ind w:left="0"/>
            </w:pPr>
          </w:p>
          <w:p w:rsidR="000615DB" w:rsidRDefault="000615DB" w:rsidP="000615DB"/>
        </w:tc>
        <w:tc>
          <w:tcPr>
            <w:tcW w:w="4508" w:type="dxa"/>
          </w:tcPr>
          <w:p w:rsidR="00E174C2" w:rsidRDefault="00E174C2" w:rsidP="000615DB">
            <w:r>
              <w:lastRenderedPageBreak/>
              <w:t>This is a fundamental breach of safeguarding.</w:t>
            </w:r>
          </w:p>
          <w:p w:rsidR="000251EE" w:rsidRDefault="000251EE" w:rsidP="000615DB"/>
          <w:p w:rsidR="000251EE" w:rsidRDefault="000251EE" w:rsidP="000615DB">
            <w:r>
              <w:t>The Trust’s position is that parents will never be informed that their child claims to be a different sex and not be involved in decisions about how their child is to be treated without the explicit consent of their child (NB the Trust schools are primary schools)</w:t>
            </w:r>
          </w:p>
          <w:p w:rsidR="000251EE" w:rsidRDefault="000251EE" w:rsidP="000615DB"/>
          <w:p w:rsidR="00E174C2" w:rsidRDefault="00E174C2" w:rsidP="000615DB">
            <w:r>
              <w:t xml:space="preserve">There may be cases where it is not appropriate to inform parents about significant events in their child’s life unless </w:t>
            </w:r>
            <w:r>
              <w:lastRenderedPageBreak/>
              <w:t>the child consents</w:t>
            </w:r>
            <w:r w:rsidR="000251EE">
              <w:t xml:space="preserve"> but t</w:t>
            </w:r>
            <w:r>
              <w:t xml:space="preserve">he Trust Policy </w:t>
            </w:r>
            <w:r w:rsidR="000251EE">
              <w:t xml:space="preserve">is </w:t>
            </w:r>
            <w:r>
              <w:t>that parents will never be informed of a child’s confusion about “gender”</w:t>
            </w:r>
          </w:p>
          <w:p w:rsidR="00E174C2" w:rsidRDefault="00E174C2" w:rsidP="000615DB"/>
          <w:p w:rsidR="00E174C2" w:rsidRDefault="00E174C2" w:rsidP="000615DB"/>
        </w:tc>
      </w:tr>
      <w:tr w:rsidR="000615DB" w:rsidTr="000615DB">
        <w:tc>
          <w:tcPr>
            <w:tcW w:w="4508" w:type="dxa"/>
          </w:tcPr>
          <w:p w:rsidR="00E174C2" w:rsidRPr="00E174C2" w:rsidRDefault="00E174C2" w:rsidP="00E174C2">
            <w:pPr>
              <w:ind w:left="720"/>
            </w:pPr>
            <w:r>
              <w:lastRenderedPageBreak/>
              <w:t xml:space="preserve">5. </w:t>
            </w:r>
            <w:r w:rsidRPr="00E174C2">
              <w:t xml:space="preserve">The Trust has identified local LGBTQ+ groups and will engage with these to ensure information is available to LGBTQ+ individuals. The Trust recognises the need for support out of the Trust environment and will highlight local LGBTQ+ groups and support networks to LGBTQ+ individuals. The details of the LGBTQ+ groups and support networks will be shared with the headteacher. </w:t>
            </w:r>
          </w:p>
          <w:p w:rsidR="000615DB" w:rsidRDefault="000615DB" w:rsidP="000615DB"/>
        </w:tc>
        <w:tc>
          <w:tcPr>
            <w:tcW w:w="4508" w:type="dxa"/>
          </w:tcPr>
          <w:p w:rsidR="000615DB" w:rsidRDefault="00E174C2" w:rsidP="000615DB">
            <w:r>
              <w:t>These will be trans activist organisations which will base their “information” on the presumption that “gender identity” is key. The child will not be supported holistically. This is in breach of the Cass Review</w:t>
            </w:r>
          </w:p>
        </w:tc>
      </w:tr>
    </w:tbl>
    <w:p w:rsidR="000615DB" w:rsidRPr="000615DB" w:rsidRDefault="000615DB" w:rsidP="000615DB"/>
    <w:sectPr w:rsidR="000615DB" w:rsidRPr="000615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7286D"/>
    <w:multiLevelType w:val="multilevel"/>
    <w:tmpl w:val="2B8C0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BF2F54"/>
    <w:multiLevelType w:val="multilevel"/>
    <w:tmpl w:val="C8CCB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6A0CDD"/>
    <w:multiLevelType w:val="multilevel"/>
    <w:tmpl w:val="75281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1F0D18"/>
    <w:multiLevelType w:val="hybridMultilevel"/>
    <w:tmpl w:val="9ECA3E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9FD381E"/>
    <w:multiLevelType w:val="hybridMultilevel"/>
    <w:tmpl w:val="E244F6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2320456">
    <w:abstractNumId w:val="3"/>
  </w:num>
  <w:num w:numId="2" w16cid:durableId="752505257">
    <w:abstractNumId w:val="0"/>
  </w:num>
  <w:num w:numId="3" w16cid:durableId="584998499">
    <w:abstractNumId w:val="2"/>
  </w:num>
  <w:num w:numId="4" w16cid:durableId="1127242223">
    <w:abstractNumId w:val="4"/>
  </w:num>
  <w:num w:numId="5" w16cid:durableId="1797030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4E6"/>
    <w:rsid w:val="000251EE"/>
    <w:rsid w:val="000615DB"/>
    <w:rsid w:val="00122A62"/>
    <w:rsid w:val="00126870"/>
    <w:rsid w:val="00227B18"/>
    <w:rsid w:val="00404713"/>
    <w:rsid w:val="00490E09"/>
    <w:rsid w:val="005C033F"/>
    <w:rsid w:val="005D44E6"/>
    <w:rsid w:val="00690289"/>
    <w:rsid w:val="007655B2"/>
    <w:rsid w:val="008764EC"/>
    <w:rsid w:val="00A624A4"/>
    <w:rsid w:val="00A635B9"/>
    <w:rsid w:val="00A65C59"/>
    <w:rsid w:val="00E031CD"/>
    <w:rsid w:val="00E174C2"/>
    <w:rsid w:val="00FC31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3F9AEEF"/>
  <w15:chartTrackingRefBased/>
  <w15:docId w15:val="{CD3124DA-AC61-544C-9F5D-F3D1F440A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44E6"/>
    <w:pPr>
      <w:ind w:left="720"/>
      <w:contextualSpacing/>
    </w:pPr>
  </w:style>
  <w:style w:type="table" w:styleId="TableGrid">
    <w:name w:val="Table Grid"/>
    <w:basedOn w:val="TableNormal"/>
    <w:uiPriority w:val="39"/>
    <w:rsid w:val="004047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24A4"/>
    <w:rPr>
      <w:color w:val="0563C1" w:themeColor="hyperlink"/>
      <w:u w:val="single"/>
    </w:rPr>
  </w:style>
  <w:style w:type="character" w:styleId="FollowedHyperlink">
    <w:name w:val="FollowedHyperlink"/>
    <w:basedOn w:val="DefaultParagraphFont"/>
    <w:uiPriority w:val="99"/>
    <w:semiHidden/>
    <w:unhideWhenUsed/>
    <w:rsid w:val="00A624A4"/>
    <w:rPr>
      <w:color w:val="954F72" w:themeColor="followedHyperlink"/>
      <w:u w:val="single"/>
    </w:rPr>
  </w:style>
  <w:style w:type="character" w:styleId="UnresolvedMention">
    <w:name w:val="Unresolved Mention"/>
    <w:basedOn w:val="DefaultParagraphFont"/>
    <w:uiPriority w:val="99"/>
    <w:semiHidden/>
    <w:unhideWhenUsed/>
    <w:rsid w:val="00A624A4"/>
    <w:rPr>
      <w:color w:val="605E5C"/>
      <w:shd w:val="clear" w:color="auto" w:fill="E1DFDD"/>
    </w:rPr>
  </w:style>
  <w:style w:type="paragraph" w:styleId="NormalWeb">
    <w:name w:val="Normal (Web)"/>
    <w:basedOn w:val="Normal"/>
    <w:uiPriority w:val="99"/>
    <w:semiHidden/>
    <w:unhideWhenUsed/>
    <w:rsid w:val="005C033F"/>
    <w:pPr>
      <w:spacing w:before="100" w:beforeAutospacing="1" w:after="100" w:afterAutospacing="1"/>
    </w:pPr>
    <w:rPr>
      <w:rFonts w:ascii="Times New Roman" w:eastAsia="Times New Roman" w:hAnsi="Times New Roman" w:cs="Times New Roman"/>
      <w:color w:val="auto"/>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65308">
      <w:bodyDiv w:val="1"/>
      <w:marLeft w:val="0"/>
      <w:marRight w:val="0"/>
      <w:marTop w:val="0"/>
      <w:marBottom w:val="0"/>
      <w:divBdr>
        <w:top w:val="none" w:sz="0" w:space="0" w:color="auto"/>
        <w:left w:val="none" w:sz="0" w:space="0" w:color="auto"/>
        <w:bottom w:val="none" w:sz="0" w:space="0" w:color="auto"/>
        <w:right w:val="none" w:sz="0" w:space="0" w:color="auto"/>
      </w:divBdr>
      <w:divsChild>
        <w:div w:id="210772090">
          <w:marLeft w:val="0"/>
          <w:marRight w:val="0"/>
          <w:marTop w:val="0"/>
          <w:marBottom w:val="0"/>
          <w:divBdr>
            <w:top w:val="none" w:sz="0" w:space="0" w:color="auto"/>
            <w:left w:val="none" w:sz="0" w:space="0" w:color="auto"/>
            <w:bottom w:val="none" w:sz="0" w:space="0" w:color="auto"/>
            <w:right w:val="none" w:sz="0" w:space="0" w:color="auto"/>
          </w:divBdr>
          <w:divsChild>
            <w:div w:id="38211956">
              <w:marLeft w:val="0"/>
              <w:marRight w:val="0"/>
              <w:marTop w:val="0"/>
              <w:marBottom w:val="0"/>
              <w:divBdr>
                <w:top w:val="none" w:sz="0" w:space="0" w:color="auto"/>
                <w:left w:val="none" w:sz="0" w:space="0" w:color="auto"/>
                <w:bottom w:val="none" w:sz="0" w:space="0" w:color="auto"/>
                <w:right w:val="none" w:sz="0" w:space="0" w:color="auto"/>
              </w:divBdr>
              <w:divsChild>
                <w:div w:id="182479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197355">
      <w:bodyDiv w:val="1"/>
      <w:marLeft w:val="0"/>
      <w:marRight w:val="0"/>
      <w:marTop w:val="0"/>
      <w:marBottom w:val="0"/>
      <w:divBdr>
        <w:top w:val="none" w:sz="0" w:space="0" w:color="auto"/>
        <w:left w:val="none" w:sz="0" w:space="0" w:color="auto"/>
        <w:bottom w:val="none" w:sz="0" w:space="0" w:color="auto"/>
        <w:right w:val="none" w:sz="0" w:space="0" w:color="auto"/>
      </w:divBdr>
      <w:divsChild>
        <w:div w:id="190799579">
          <w:marLeft w:val="0"/>
          <w:marRight w:val="0"/>
          <w:marTop w:val="0"/>
          <w:marBottom w:val="0"/>
          <w:divBdr>
            <w:top w:val="none" w:sz="0" w:space="0" w:color="auto"/>
            <w:left w:val="none" w:sz="0" w:space="0" w:color="auto"/>
            <w:bottom w:val="none" w:sz="0" w:space="0" w:color="auto"/>
            <w:right w:val="none" w:sz="0" w:space="0" w:color="auto"/>
          </w:divBdr>
          <w:divsChild>
            <w:div w:id="163934089">
              <w:marLeft w:val="0"/>
              <w:marRight w:val="0"/>
              <w:marTop w:val="0"/>
              <w:marBottom w:val="0"/>
              <w:divBdr>
                <w:top w:val="none" w:sz="0" w:space="0" w:color="auto"/>
                <w:left w:val="none" w:sz="0" w:space="0" w:color="auto"/>
                <w:bottom w:val="none" w:sz="0" w:space="0" w:color="auto"/>
                <w:right w:val="none" w:sz="0" w:space="0" w:color="auto"/>
              </w:divBdr>
              <w:divsChild>
                <w:div w:id="203588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313316">
      <w:bodyDiv w:val="1"/>
      <w:marLeft w:val="0"/>
      <w:marRight w:val="0"/>
      <w:marTop w:val="0"/>
      <w:marBottom w:val="0"/>
      <w:divBdr>
        <w:top w:val="none" w:sz="0" w:space="0" w:color="auto"/>
        <w:left w:val="none" w:sz="0" w:space="0" w:color="auto"/>
        <w:bottom w:val="none" w:sz="0" w:space="0" w:color="auto"/>
        <w:right w:val="none" w:sz="0" w:space="0" w:color="auto"/>
      </w:divBdr>
      <w:divsChild>
        <w:div w:id="464280536">
          <w:marLeft w:val="0"/>
          <w:marRight w:val="0"/>
          <w:marTop w:val="0"/>
          <w:marBottom w:val="0"/>
          <w:divBdr>
            <w:top w:val="none" w:sz="0" w:space="0" w:color="auto"/>
            <w:left w:val="none" w:sz="0" w:space="0" w:color="auto"/>
            <w:bottom w:val="none" w:sz="0" w:space="0" w:color="auto"/>
            <w:right w:val="none" w:sz="0" w:space="0" w:color="auto"/>
          </w:divBdr>
          <w:divsChild>
            <w:div w:id="888952498">
              <w:marLeft w:val="0"/>
              <w:marRight w:val="0"/>
              <w:marTop w:val="0"/>
              <w:marBottom w:val="0"/>
              <w:divBdr>
                <w:top w:val="none" w:sz="0" w:space="0" w:color="auto"/>
                <w:left w:val="none" w:sz="0" w:space="0" w:color="auto"/>
                <w:bottom w:val="none" w:sz="0" w:space="0" w:color="auto"/>
                <w:right w:val="none" w:sz="0" w:space="0" w:color="auto"/>
              </w:divBdr>
              <w:divsChild>
                <w:div w:id="160854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175567">
      <w:bodyDiv w:val="1"/>
      <w:marLeft w:val="0"/>
      <w:marRight w:val="0"/>
      <w:marTop w:val="0"/>
      <w:marBottom w:val="0"/>
      <w:divBdr>
        <w:top w:val="none" w:sz="0" w:space="0" w:color="auto"/>
        <w:left w:val="none" w:sz="0" w:space="0" w:color="auto"/>
        <w:bottom w:val="none" w:sz="0" w:space="0" w:color="auto"/>
        <w:right w:val="none" w:sz="0" w:space="0" w:color="auto"/>
      </w:divBdr>
      <w:divsChild>
        <w:div w:id="1867983562">
          <w:marLeft w:val="0"/>
          <w:marRight w:val="0"/>
          <w:marTop w:val="0"/>
          <w:marBottom w:val="0"/>
          <w:divBdr>
            <w:top w:val="none" w:sz="0" w:space="0" w:color="auto"/>
            <w:left w:val="none" w:sz="0" w:space="0" w:color="auto"/>
            <w:bottom w:val="none" w:sz="0" w:space="0" w:color="auto"/>
            <w:right w:val="none" w:sz="0" w:space="0" w:color="auto"/>
          </w:divBdr>
          <w:divsChild>
            <w:div w:id="1924484281">
              <w:marLeft w:val="0"/>
              <w:marRight w:val="0"/>
              <w:marTop w:val="0"/>
              <w:marBottom w:val="0"/>
              <w:divBdr>
                <w:top w:val="none" w:sz="0" w:space="0" w:color="auto"/>
                <w:left w:val="none" w:sz="0" w:space="0" w:color="auto"/>
                <w:bottom w:val="none" w:sz="0" w:space="0" w:color="auto"/>
                <w:right w:val="none" w:sz="0" w:space="0" w:color="auto"/>
              </w:divBdr>
              <w:divsChild>
                <w:div w:id="207273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77913">
      <w:bodyDiv w:val="1"/>
      <w:marLeft w:val="0"/>
      <w:marRight w:val="0"/>
      <w:marTop w:val="0"/>
      <w:marBottom w:val="0"/>
      <w:divBdr>
        <w:top w:val="none" w:sz="0" w:space="0" w:color="auto"/>
        <w:left w:val="none" w:sz="0" w:space="0" w:color="auto"/>
        <w:bottom w:val="none" w:sz="0" w:space="0" w:color="auto"/>
        <w:right w:val="none" w:sz="0" w:space="0" w:color="auto"/>
      </w:divBdr>
      <w:divsChild>
        <w:div w:id="2069495873">
          <w:marLeft w:val="0"/>
          <w:marRight w:val="0"/>
          <w:marTop w:val="0"/>
          <w:marBottom w:val="0"/>
          <w:divBdr>
            <w:top w:val="none" w:sz="0" w:space="0" w:color="auto"/>
            <w:left w:val="none" w:sz="0" w:space="0" w:color="auto"/>
            <w:bottom w:val="none" w:sz="0" w:space="0" w:color="auto"/>
            <w:right w:val="none" w:sz="0" w:space="0" w:color="auto"/>
          </w:divBdr>
          <w:divsChild>
            <w:div w:id="1863324947">
              <w:marLeft w:val="0"/>
              <w:marRight w:val="0"/>
              <w:marTop w:val="0"/>
              <w:marBottom w:val="0"/>
              <w:divBdr>
                <w:top w:val="none" w:sz="0" w:space="0" w:color="auto"/>
                <w:left w:val="none" w:sz="0" w:space="0" w:color="auto"/>
                <w:bottom w:val="none" w:sz="0" w:space="0" w:color="auto"/>
                <w:right w:val="none" w:sz="0" w:space="0" w:color="auto"/>
              </w:divBdr>
              <w:divsChild>
                <w:div w:id="1068501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691017">
      <w:bodyDiv w:val="1"/>
      <w:marLeft w:val="0"/>
      <w:marRight w:val="0"/>
      <w:marTop w:val="0"/>
      <w:marBottom w:val="0"/>
      <w:divBdr>
        <w:top w:val="none" w:sz="0" w:space="0" w:color="auto"/>
        <w:left w:val="none" w:sz="0" w:space="0" w:color="auto"/>
        <w:bottom w:val="none" w:sz="0" w:space="0" w:color="auto"/>
        <w:right w:val="none" w:sz="0" w:space="0" w:color="auto"/>
      </w:divBdr>
      <w:divsChild>
        <w:div w:id="1857227398">
          <w:marLeft w:val="0"/>
          <w:marRight w:val="0"/>
          <w:marTop w:val="0"/>
          <w:marBottom w:val="0"/>
          <w:divBdr>
            <w:top w:val="none" w:sz="0" w:space="0" w:color="auto"/>
            <w:left w:val="none" w:sz="0" w:space="0" w:color="auto"/>
            <w:bottom w:val="none" w:sz="0" w:space="0" w:color="auto"/>
            <w:right w:val="none" w:sz="0" w:space="0" w:color="auto"/>
          </w:divBdr>
          <w:divsChild>
            <w:div w:id="1262908644">
              <w:marLeft w:val="0"/>
              <w:marRight w:val="0"/>
              <w:marTop w:val="0"/>
              <w:marBottom w:val="0"/>
              <w:divBdr>
                <w:top w:val="none" w:sz="0" w:space="0" w:color="auto"/>
                <w:left w:val="none" w:sz="0" w:space="0" w:color="auto"/>
                <w:bottom w:val="none" w:sz="0" w:space="0" w:color="auto"/>
                <w:right w:val="none" w:sz="0" w:space="0" w:color="auto"/>
              </w:divBdr>
              <w:divsChild>
                <w:div w:id="149286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487497">
      <w:bodyDiv w:val="1"/>
      <w:marLeft w:val="0"/>
      <w:marRight w:val="0"/>
      <w:marTop w:val="0"/>
      <w:marBottom w:val="0"/>
      <w:divBdr>
        <w:top w:val="none" w:sz="0" w:space="0" w:color="auto"/>
        <w:left w:val="none" w:sz="0" w:space="0" w:color="auto"/>
        <w:bottom w:val="none" w:sz="0" w:space="0" w:color="auto"/>
        <w:right w:val="none" w:sz="0" w:space="0" w:color="auto"/>
      </w:divBdr>
      <w:divsChild>
        <w:div w:id="1276060723">
          <w:marLeft w:val="0"/>
          <w:marRight w:val="0"/>
          <w:marTop w:val="0"/>
          <w:marBottom w:val="0"/>
          <w:divBdr>
            <w:top w:val="none" w:sz="0" w:space="0" w:color="auto"/>
            <w:left w:val="none" w:sz="0" w:space="0" w:color="auto"/>
            <w:bottom w:val="none" w:sz="0" w:space="0" w:color="auto"/>
            <w:right w:val="none" w:sz="0" w:space="0" w:color="auto"/>
          </w:divBdr>
          <w:divsChild>
            <w:div w:id="1513031432">
              <w:marLeft w:val="0"/>
              <w:marRight w:val="0"/>
              <w:marTop w:val="0"/>
              <w:marBottom w:val="0"/>
              <w:divBdr>
                <w:top w:val="none" w:sz="0" w:space="0" w:color="auto"/>
                <w:left w:val="none" w:sz="0" w:space="0" w:color="auto"/>
                <w:bottom w:val="none" w:sz="0" w:space="0" w:color="auto"/>
                <w:right w:val="none" w:sz="0" w:space="0" w:color="auto"/>
              </w:divBdr>
              <w:divsChild>
                <w:div w:id="77686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872592">
      <w:bodyDiv w:val="1"/>
      <w:marLeft w:val="0"/>
      <w:marRight w:val="0"/>
      <w:marTop w:val="0"/>
      <w:marBottom w:val="0"/>
      <w:divBdr>
        <w:top w:val="none" w:sz="0" w:space="0" w:color="auto"/>
        <w:left w:val="none" w:sz="0" w:space="0" w:color="auto"/>
        <w:bottom w:val="none" w:sz="0" w:space="0" w:color="auto"/>
        <w:right w:val="none" w:sz="0" w:space="0" w:color="auto"/>
      </w:divBdr>
      <w:divsChild>
        <w:div w:id="1407530611">
          <w:marLeft w:val="0"/>
          <w:marRight w:val="0"/>
          <w:marTop w:val="0"/>
          <w:marBottom w:val="0"/>
          <w:divBdr>
            <w:top w:val="none" w:sz="0" w:space="0" w:color="auto"/>
            <w:left w:val="none" w:sz="0" w:space="0" w:color="auto"/>
            <w:bottom w:val="none" w:sz="0" w:space="0" w:color="auto"/>
            <w:right w:val="none" w:sz="0" w:space="0" w:color="auto"/>
          </w:divBdr>
          <w:divsChild>
            <w:div w:id="1864131790">
              <w:marLeft w:val="0"/>
              <w:marRight w:val="0"/>
              <w:marTop w:val="0"/>
              <w:marBottom w:val="0"/>
              <w:divBdr>
                <w:top w:val="none" w:sz="0" w:space="0" w:color="auto"/>
                <w:left w:val="none" w:sz="0" w:space="0" w:color="auto"/>
                <w:bottom w:val="none" w:sz="0" w:space="0" w:color="auto"/>
                <w:right w:val="none" w:sz="0" w:space="0" w:color="auto"/>
              </w:divBdr>
              <w:divsChild>
                <w:div w:id="125562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475929">
      <w:bodyDiv w:val="1"/>
      <w:marLeft w:val="0"/>
      <w:marRight w:val="0"/>
      <w:marTop w:val="0"/>
      <w:marBottom w:val="0"/>
      <w:divBdr>
        <w:top w:val="none" w:sz="0" w:space="0" w:color="auto"/>
        <w:left w:val="none" w:sz="0" w:space="0" w:color="auto"/>
        <w:bottom w:val="none" w:sz="0" w:space="0" w:color="auto"/>
        <w:right w:val="none" w:sz="0" w:space="0" w:color="auto"/>
      </w:divBdr>
      <w:divsChild>
        <w:div w:id="625890986">
          <w:marLeft w:val="0"/>
          <w:marRight w:val="0"/>
          <w:marTop w:val="0"/>
          <w:marBottom w:val="0"/>
          <w:divBdr>
            <w:top w:val="none" w:sz="0" w:space="0" w:color="auto"/>
            <w:left w:val="none" w:sz="0" w:space="0" w:color="auto"/>
            <w:bottom w:val="none" w:sz="0" w:space="0" w:color="auto"/>
            <w:right w:val="none" w:sz="0" w:space="0" w:color="auto"/>
          </w:divBdr>
          <w:divsChild>
            <w:div w:id="1020468494">
              <w:marLeft w:val="0"/>
              <w:marRight w:val="0"/>
              <w:marTop w:val="0"/>
              <w:marBottom w:val="0"/>
              <w:divBdr>
                <w:top w:val="none" w:sz="0" w:space="0" w:color="auto"/>
                <w:left w:val="none" w:sz="0" w:space="0" w:color="auto"/>
                <w:bottom w:val="none" w:sz="0" w:space="0" w:color="auto"/>
                <w:right w:val="none" w:sz="0" w:space="0" w:color="auto"/>
              </w:divBdr>
              <w:divsChild>
                <w:div w:id="70976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412135">
      <w:bodyDiv w:val="1"/>
      <w:marLeft w:val="0"/>
      <w:marRight w:val="0"/>
      <w:marTop w:val="0"/>
      <w:marBottom w:val="0"/>
      <w:divBdr>
        <w:top w:val="none" w:sz="0" w:space="0" w:color="auto"/>
        <w:left w:val="none" w:sz="0" w:space="0" w:color="auto"/>
        <w:bottom w:val="none" w:sz="0" w:space="0" w:color="auto"/>
        <w:right w:val="none" w:sz="0" w:space="0" w:color="auto"/>
      </w:divBdr>
      <w:divsChild>
        <w:div w:id="279916646">
          <w:marLeft w:val="0"/>
          <w:marRight w:val="0"/>
          <w:marTop w:val="0"/>
          <w:marBottom w:val="0"/>
          <w:divBdr>
            <w:top w:val="none" w:sz="0" w:space="0" w:color="auto"/>
            <w:left w:val="none" w:sz="0" w:space="0" w:color="auto"/>
            <w:bottom w:val="none" w:sz="0" w:space="0" w:color="auto"/>
            <w:right w:val="none" w:sz="0" w:space="0" w:color="auto"/>
          </w:divBdr>
          <w:divsChild>
            <w:div w:id="1479567448">
              <w:marLeft w:val="0"/>
              <w:marRight w:val="0"/>
              <w:marTop w:val="0"/>
              <w:marBottom w:val="0"/>
              <w:divBdr>
                <w:top w:val="none" w:sz="0" w:space="0" w:color="auto"/>
                <w:left w:val="none" w:sz="0" w:space="0" w:color="auto"/>
                <w:bottom w:val="none" w:sz="0" w:space="0" w:color="auto"/>
                <w:right w:val="none" w:sz="0" w:space="0" w:color="auto"/>
              </w:divBdr>
              <w:divsChild>
                <w:div w:id="122135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037">
      <w:bodyDiv w:val="1"/>
      <w:marLeft w:val="0"/>
      <w:marRight w:val="0"/>
      <w:marTop w:val="0"/>
      <w:marBottom w:val="0"/>
      <w:divBdr>
        <w:top w:val="none" w:sz="0" w:space="0" w:color="auto"/>
        <w:left w:val="none" w:sz="0" w:space="0" w:color="auto"/>
        <w:bottom w:val="none" w:sz="0" w:space="0" w:color="auto"/>
        <w:right w:val="none" w:sz="0" w:space="0" w:color="auto"/>
      </w:divBdr>
      <w:divsChild>
        <w:div w:id="1519082315">
          <w:marLeft w:val="0"/>
          <w:marRight w:val="0"/>
          <w:marTop w:val="0"/>
          <w:marBottom w:val="0"/>
          <w:divBdr>
            <w:top w:val="none" w:sz="0" w:space="0" w:color="auto"/>
            <w:left w:val="none" w:sz="0" w:space="0" w:color="auto"/>
            <w:bottom w:val="none" w:sz="0" w:space="0" w:color="auto"/>
            <w:right w:val="none" w:sz="0" w:space="0" w:color="auto"/>
          </w:divBdr>
          <w:divsChild>
            <w:div w:id="561059317">
              <w:marLeft w:val="0"/>
              <w:marRight w:val="0"/>
              <w:marTop w:val="0"/>
              <w:marBottom w:val="0"/>
              <w:divBdr>
                <w:top w:val="none" w:sz="0" w:space="0" w:color="auto"/>
                <w:left w:val="none" w:sz="0" w:space="0" w:color="auto"/>
                <w:bottom w:val="none" w:sz="0" w:space="0" w:color="auto"/>
                <w:right w:val="none" w:sz="0" w:space="0" w:color="auto"/>
              </w:divBdr>
              <w:divsChild>
                <w:div w:id="102867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512530">
      <w:bodyDiv w:val="1"/>
      <w:marLeft w:val="0"/>
      <w:marRight w:val="0"/>
      <w:marTop w:val="0"/>
      <w:marBottom w:val="0"/>
      <w:divBdr>
        <w:top w:val="none" w:sz="0" w:space="0" w:color="auto"/>
        <w:left w:val="none" w:sz="0" w:space="0" w:color="auto"/>
        <w:bottom w:val="none" w:sz="0" w:space="0" w:color="auto"/>
        <w:right w:val="none" w:sz="0" w:space="0" w:color="auto"/>
      </w:divBdr>
      <w:divsChild>
        <w:div w:id="1936013349">
          <w:marLeft w:val="0"/>
          <w:marRight w:val="0"/>
          <w:marTop w:val="0"/>
          <w:marBottom w:val="0"/>
          <w:divBdr>
            <w:top w:val="none" w:sz="0" w:space="0" w:color="auto"/>
            <w:left w:val="none" w:sz="0" w:space="0" w:color="auto"/>
            <w:bottom w:val="none" w:sz="0" w:space="0" w:color="auto"/>
            <w:right w:val="none" w:sz="0" w:space="0" w:color="auto"/>
          </w:divBdr>
          <w:divsChild>
            <w:div w:id="2139566740">
              <w:marLeft w:val="0"/>
              <w:marRight w:val="0"/>
              <w:marTop w:val="0"/>
              <w:marBottom w:val="0"/>
              <w:divBdr>
                <w:top w:val="none" w:sz="0" w:space="0" w:color="auto"/>
                <w:left w:val="none" w:sz="0" w:space="0" w:color="auto"/>
                <w:bottom w:val="none" w:sz="0" w:space="0" w:color="auto"/>
                <w:right w:val="none" w:sz="0" w:space="0" w:color="auto"/>
              </w:divBdr>
              <w:divsChild>
                <w:div w:id="94110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x-matters.org/wp-content/uploads/2023/10/Update-for-schools-in-England.pdf" TargetMode="External"/><Relationship Id="rId3" Type="http://schemas.openxmlformats.org/officeDocument/2006/relationships/settings" Target="settings.xml"/><Relationship Id="rId7" Type="http://schemas.openxmlformats.org/officeDocument/2006/relationships/hyperlink" Target="https://www.gov.uk/government/publications/public-sector-equality-duty-guidance-for-public-authoriti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trixlaw.co.uk/member/karon-monaghan/" TargetMode="External"/><Relationship Id="rId11" Type="http://schemas.openxmlformats.org/officeDocument/2006/relationships/fontTable" Target="fontTable.xml"/><Relationship Id="rId5" Type="http://schemas.openxmlformats.org/officeDocument/2006/relationships/hyperlink" Target="https://www.brighton-hove.gov.uk/node/776/trans-inclusion-schools-toolkit-2021" TargetMode="External"/><Relationship Id="rId10" Type="http://schemas.openxmlformats.org/officeDocument/2006/relationships/hyperlink" Target="https://assets.publishing.service.gov.uk/media/64f0a68ea78c5f000dc6f3b2/Keeping_children_safe_in_education_2023.pdf" TargetMode="External"/><Relationship Id="rId4" Type="http://schemas.openxmlformats.org/officeDocument/2006/relationships/webSettings" Target="webSettings.xml"/><Relationship Id="rId9" Type="http://schemas.openxmlformats.org/officeDocument/2006/relationships/hyperlink" Target="https://www.equalityhumanrights.com/sites/default/files/guidance-separate-and-single-sex-service-providers-equality-act-sex-and-gender-reassignment-exception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4</Pages>
  <Words>1434</Words>
  <Characters>8177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Mcnamara</dc:creator>
  <cp:keywords/>
  <dc:description/>
  <cp:lastModifiedBy>Stephen Mcnamara</cp:lastModifiedBy>
  <cp:revision>5</cp:revision>
  <dcterms:created xsi:type="dcterms:W3CDTF">2024-04-30T15:43:00Z</dcterms:created>
  <dcterms:modified xsi:type="dcterms:W3CDTF">2024-05-03T10:59:00Z</dcterms:modified>
</cp:coreProperties>
</file>