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7D629E" w14:textId="3BF2614B" w:rsidR="00E74BE3" w:rsidRDefault="00FD18ED" w:rsidP="00FD18ED">
      <w:pPr>
        <w:jc w:val="right"/>
      </w:pPr>
      <w:r>
        <w:t>Protect and Teach</w:t>
      </w:r>
    </w:p>
    <w:p w14:paraId="4F1597FF" w14:textId="24FDF069" w:rsidR="005B49A7" w:rsidRDefault="005B49A7" w:rsidP="00FD18ED">
      <w:pPr>
        <w:jc w:val="right"/>
      </w:pPr>
      <w:r>
        <w:t>protectteach@gmail.com</w:t>
      </w:r>
    </w:p>
    <w:p w14:paraId="0C03742A" w14:textId="50DD2B05" w:rsidR="00FD18ED" w:rsidRDefault="00FD18ED" w:rsidP="00FD18ED">
      <w:pPr>
        <w:jc w:val="right"/>
      </w:pPr>
      <w:r>
        <w:rPr>
          <w:b/>
          <w:bCs/>
        </w:rPr>
        <w:t xml:space="preserve">DATE </w:t>
      </w:r>
      <w:r>
        <w:t>May 2024</w:t>
      </w:r>
    </w:p>
    <w:p w14:paraId="003D27B0" w14:textId="77777777" w:rsidR="00640531" w:rsidRDefault="00640531"/>
    <w:p w14:paraId="45283EB7" w14:textId="77777777" w:rsidR="00640531" w:rsidRDefault="00640531" w:rsidP="00C40982">
      <w:pPr>
        <w:jc w:val="both"/>
      </w:pPr>
      <w:r>
        <w:t>Dear Church of England</w:t>
      </w:r>
      <w:r w:rsidR="00E63E17">
        <w:t>,</w:t>
      </w:r>
    </w:p>
    <w:p w14:paraId="33FAB9AA" w14:textId="77777777" w:rsidR="00640531" w:rsidRDefault="00640531" w:rsidP="00C40982">
      <w:pPr>
        <w:jc w:val="both"/>
      </w:pPr>
    </w:p>
    <w:p w14:paraId="34B1860D" w14:textId="77777777" w:rsidR="00527D98" w:rsidRPr="00527D98" w:rsidRDefault="00640531" w:rsidP="00C40982">
      <w:pPr>
        <w:jc w:val="both"/>
        <w:rPr>
          <w:b/>
          <w:bCs/>
        </w:rPr>
      </w:pPr>
      <w:r w:rsidRPr="003D1A1F">
        <w:rPr>
          <w:b/>
          <w:bCs/>
        </w:rPr>
        <w:t>Re Valuing All God’s Children</w:t>
      </w:r>
      <w:r w:rsidR="00527D98">
        <w:rPr>
          <w:b/>
          <w:bCs/>
        </w:rPr>
        <w:t xml:space="preserve">: </w:t>
      </w:r>
      <w:r w:rsidRPr="003D1A1F">
        <w:rPr>
          <w:b/>
          <w:bCs/>
        </w:rPr>
        <w:t xml:space="preserve"> </w:t>
      </w:r>
      <w:r w:rsidR="00527D98" w:rsidRPr="00527D98">
        <w:rPr>
          <w:b/>
          <w:bCs/>
        </w:rPr>
        <w:t xml:space="preserve">Guidance for Church of England schools on challenging homophobic, biphobic and transphobic bullying </w:t>
      </w:r>
    </w:p>
    <w:p w14:paraId="19706BA7" w14:textId="77777777" w:rsidR="00640531" w:rsidRPr="003D1A1F" w:rsidRDefault="00640531" w:rsidP="00C40982">
      <w:pPr>
        <w:jc w:val="both"/>
        <w:rPr>
          <w:b/>
          <w:bCs/>
        </w:rPr>
      </w:pPr>
    </w:p>
    <w:p w14:paraId="08DEB1B9" w14:textId="77777777" w:rsidR="00640531" w:rsidRDefault="00640531" w:rsidP="00C40982">
      <w:pPr>
        <w:jc w:val="both"/>
      </w:pPr>
    </w:p>
    <w:p w14:paraId="6254C7B1" w14:textId="26E7D22E" w:rsidR="00640531" w:rsidRDefault="00000000" w:rsidP="00FD18ED">
      <w:pPr>
        <w:jc w:val="center"/>
        <w:rPr>
          <w:b/>
          <w:bCs/>
        </w:rPr>
      </w:pPr>
      <w:hyperlink r:id="rId8" w:history="1">
        <w:r w:rsidR="00832B90" w:rsidRPr="00832B90">
          <w:rPr>
            <w:rStyle w:val="Hyperlink"/>
            <w:b/>
            <w:bCs/>
          </w:rPr>
          <w:t>The Cass Review Final Report</w:t>
        </w:r>
      </w:hyperlink>
    </w:p>
    <w:p w14:paraId="4794CE1C" w14:textId="77777777" w:rsidR="005B49A7" w:rsidRDefault="005B49A7" w:rsidP="00FD18ED">
      <w:pPr>
        <w:jc w:val="center"/>
        <w:rPr>
          <w:b/>
          <w:bCs/>
        </w:rPr>
      </w:pPr>
    </w:p>
    <w:p w14:paraId="374EDD27" w14:textId="3A1373EA" w:rsidR="005B49A7" w:rsidRDefault="005B49A7" w:rsidP="005B49A7">
      <w:r>
        <w:t xml:space="preserve">The Cass </w:t>
      </w:r>
      <w:r w:rsidR="00B320A0">
        <w:t xml:space="preserve">Review Final </w:t>
      </w:r>
      <w:r>
        <w:t xml:space="preserve">Report </w:t>
      </w:r>
      <w:r w:rsidR="00B320A0">
        <w:t xml:space="preserve">(“the Cass Review”) </w:t>
      </w:r>
      <w:r>
        <w:t>states:</w:t>
      </w:r>
    </w:p>
    <w:p w14:paraId="13909884" w14:textId="77777777" w:rsidR="005B49A7" w:rsidRDefault="005B49A7" w:rsidP="005B49A7"/>
    <w:p w14:paraId="19B3B5E4" w14:textId="672E0553" w:rsidR="005B49A7" w:rsidRPr="005B49A7" w:rsidRDefault="005B49A7" w:rsidP="005B49A7">
      <w:pPr>
        <w:ind w:left="720"/>
        <w:rPr>
          <w:i/>
          <w:iCs/>
        </w:rPr>
      </w:pPr>
      <w:r w:rsidRPr="005B49A7">
        <w:rPr>
          <w:i/>
          <w:iCs/>
        </w:rPr>
        <w:t>Although the focus of the Review is on support from point of entry to the NHS, no</w:t>
      </w:r>
    </w:p>
    <w:p w14:paraId="4C335CE9" w14:textId="03739330" w:rsidR="005B49A7" w:rsidRDefault="005B49A7" w:rsidP="005B49A7">
      <w:pPr>
        <w:ind w:left="720"/>
        <w:rPr>
          <w:i/>
          <w:iCs/>
        </w:rPr>
      </w:pPr>
      <w:r w:rsidRPr="005B49A7">
        <w:rPr>
          <w:i/>
          <w:iCs/>
        </w:rPr>
        <w:t>individual journey begins at the front door of the NHS, rather in the child’s home, family and</w:t>
      </w:r>
      <w:r>
        <w:rPr>
          <w:i/>
          <w:iCs/>
        </w:rPr>
        <w:t xml:space="preserve"> </w:t>
      </w:r>
      <w:r w:rsidRPr="005B49A7">
        <w:rPr>
          <w:i/>
          <w:iCs/>
        </w:rPr>
        <w:t xml:space="preserve">school environment. </w:t>
      </w:r>
      <w:r w:rsidRPr="005B49A7">
        <w:rPr>
          <w:b/>
          <w:bCs/>
          <w:i/>
          <w:iCs/>
        </w:rPr>
        <w:t>The importance of what</w:t>
      </w:r>
      <w:r w:rsidRPr="00B320A0">
        <w:rPr>
          <w:b/>
          <w:bCs/>
          <w:i/>
          <w:iCs/>
        </w:rPr>
        <w:t xml:space="preserve"> </w:t>
      </w:r>
      <w:r w:rsidRPr="005B49A7">
        <w:rPr>
          <w:b/>
          <w:bCs/>
          <w:i/>
          <w:iCs/>
        </w:rPr>
        <w:t xml:space="preserve">happens in school cannot be </w:t>
      </w:r>
      <w:proofErr w:type="spellStart"/>
      <w:r w:rsidRPr="005B49A7">
        <w:rPr>
          <w:b/>
          <w:bCs/>
          <w:i/>
          <w:iCs/>
        </w:rPr>
        <w:t>under-estimated;this</w:t>
      </w:r>
      <w:proofErr w:type="spellEnd"/>
      <w:r w:rsidRPr="005B49A7">
        <w:rPr>
          <w:b/>
          <w:bCs/>
          <w:i/>
          <w:iCs/>
        </w:rPr>
        <w:t xml:space="preserve"> applies to all aspects of children’s health</w:t>
      </w:r>
      <w:r w:rsidRPr="00B320A0">
        <w:rPr>
          <w:b/>
          <w:bCs/>
          <w:i/>
          <w:iCs/>
        </w:rPr>
        <w:t xml:space="preserve"> </w:t>
      </w:r>
      <w:r w:rsidRPr="005B49A7">
        <w:rPr>
          <w:b/>
          <w:bCs/>
          <w:i/>
          <w:iCs/>
        </w:rPr>
        <w:t>and wellbeing</w:t>
      </w:r>
      <w:r w:rsidRPr="005B49A7">
        <w:rPr>
          <w:i/>
          <w:iCs/>
        </w:rPr>
        <w:t>. Schools have been grappling with how they should respond when a pupil says that they want to socially transition in the school setting. For this reason, it is important that school guidance is able to utilise some of the principles and evidence from the Review.</w:t>
      </w:r>
      <w:r w:rsidR="00D77176">
        <w:rPr>
          <w:i/>
          <w:iCs/>
        </w:rPr>
        <w:t>(12.6)</w:t>
      </w:r>
      <w:r w:rsidR="00B320A0">
        <w:rPr>
          <w:i/>
          <w:iCs/>
        </w:rPr>
        <w:t xml:space="preserve"> </w:t>
      </w:r>
      <w:r w:rsidR="00832B90">
        <w:rPr>
          <w:i/>
          <w:iCs/>
        </w:rPr>
        <w:t>[</w:t>
      </w:r>
      <w:r w:rsidR="00B320A0">
        <w:rPr>
          <w:i/>
          <w:iCs/>
        </w:rPr>
        <w:t xml:space="preserve"> emphasis added</w:t>
      </w:r>
      <w:r w:rsidR="00832B90">
        <w:rPr>
          <w:i/>
          <w:iCs/>
        </w:rPr>
        <w:t>].</w:t>
      </w:r>
    </w:p>
    <w:p w14:paraId="7BB7AACB" w14:textId="77777777" w:rsidR="005B49A7" w:rsidRDefault="005B49A7" w:rsidP="005B49A7">
      <w:pPr>
        <w:ind w:left="720"/>
        <w:rPr>
          <w:i/>
          <w:iCs/>
        </w:rPr>
      </w:pPr>
    </w:p>
    <w:p w14:paraId="7EA94859" w14:textId="1B10B795" w:rsidR="005B49A7" w:rsidRPr="005B49A7" w:rsidRDefault="005B49A7" w:rsidP="005B49A7">
      <w:r>
        <w:t>This must be a catal</w:t>
      </w:r>
      <w:r w:rsidR="00D77176">
        <w:t>yst for the Church of England (“the Church”) to withdraw and review “</w:t>
      </w:r>
      <w:r w:rsidR="00D77176" w:rsidRPr="004041B9">
        <w:t xml:space="preserve">Valuing All God’s Children:  Guidance for Church of England schools on challenging homophobic, </w:t>
      </w:r>
      <w:proofErr w:type="spellStart"/>
      <w:r w:rsidR="00D77176" w:rsidRPr="004041B9">
        <w:t>biphobic</w:t>
      </w:r>
      <w:proofErr w:type="spellEnd"/>
      <w:r w:rsidR="00D77176" w:rsidRPr="004041B9">
        <w:t xml:space="preserve"> and transphobic bullying</w:t>
      </w:r>
      <w:r w:rsidR="00D77176">
        <w:t>”</w:t>
      </w:r>
      <w:r w:rsidR="00D77176" w:rsidRPr="00985E95">
        <w:rPr>
          <w:b/>
          <w:bCs/>
        </w:rPr>
        <w:t xml:space="preserve"> </w:t>
      </w:r>
      <w:r w:rsidR="00D77176">
        <w:t>(“the Guidance”)</w:t>
      </w:r>
      <w:r w:rsidR="00996BEA">
        <w:t>.</w:t>
      </w:r>
    </w:p>
    <w:p w14:paraId="697DC80F" w14:textId="77777777" w:rsidR="00640531" w:rsidRDefault="00640531" w:rsidP="00C40982">
      <w:pPr>
        <w:jc w:val="both"/>
        <w:rPr>
          <w:b/>
          <w:bCs/>
        </w:rPr>
      </w:pPr>
    </w:p>
    <w:p w14:paraId="43E4CCBE" w14:textId="77777777" w:rsidR="005B49A7" w:rsidRDefault="005B49A7" w:rsidP="00C40982">
      <w:pPr>
        <w:jc w:val="both"/>
        <w:rPr>
          <w:b/>
          <w:bCs/>
        </w:rPr>
      </w:pPr>
    </w:p>
    <w:p w14:paraId="0A51D24E" w14:textId="54064E1C" w:rsidR="005B49A7" w:rsidRPr="00640531" w:rsidRDefault="00D77176" w:rsidP="00D77176">
      <w:pPr>
        <w:jc w:val="center"/>
        <w:rPr>
          <w:b/>
          <w:bCs/>
        </w:rPr>
      </w:pPr>
      <w:r>
        <w:rPr>
          <w:b/>
          <w:bCs/>
        </w:rPr>
        <w:t>The Request</w:t>
      </w:r>
    </w:p>
    <w:p w14:paraId="1970E3D5" w14:textId="77777777" w:rsidR="00640531" w:rsidRDefault="00640531" w:rsidP="00C40982">
      <w:pPr>
        <w:jc w:val="both"/>
      </w:pPr>
      <w:r>
        <w:t>We, Protect and Teach, request that</w:t>
      </w:r>
      <w:r w:rsidR="00F80ED6">
        <w:t>:</w:t>
      </w:r>
    </w:p>
    <w:p w14:paraId="1AE129F0" w14:textId="77777777" w:rsidR="00640531" w:rsidRDefault="00640531" w:rsidP="00C40982">
      <w:pPr>
        <w:jc w:val="both"/>
      </w:pPr>
    </w:p>
    <w:p w14:paraId="4B12A192" w14:textId="43CD91D1" w:rsidR="00640531" w:rsidRDefault="00D77176" w:rsidP="00C40982">
      <w:pPr>
        <w:pStyle w:val="ListParagraph"/>
        <w:numPr>
          <w:ilvl w:val="0"/>
          <w:numId w:val="1"/>
        </w:numPr>
        <w:jc w:val="both"/>
      </w:pPr>
      <w:r>
        <w:t xml:space="preserve">The Guidance </w:t>
      </w:r>
      <w:r w:rsidR="00E74BE3">
        <w:t xml:space="preserve">is </w:t>
      </w:r>
      <w:r w:rsidR="00640531">
        <w:t xml:space="preserve"> withdrawn</w:t>
      </w:r>
      <w:r w:rsidR="00F80ED6">
        <w:t>;</w:t>
      </w:r>
    </w:p>
    <w:p w14:paraId="24CD3F86" w14:textId="77777777" w:rsidR="003D1A1F" w:rsidRDefault="003D1A1F" w:rsidP="00C40982">
      <w:pPr>
        <w:pStyle w:val="ListParagraph"/>
        <w:jc w:val="both"/>
      </w:pPr>
    </w:p>
    <w:p w14:paraId="710AB737" w14:textId="2F1DC3B7" w:rsidR="00640531" w:rsidRDefault="00640531" w:rsidP="00C40982">
      <w:pPr>
        <w:pStyle w:val="ListParagraph"/>
        <w:numPr>
          <w:ilvl w:val="0"/>
          <w:numId w:val="1"/>
        </w:numPr>
        <w:jc w:val="both"/>
      </w:pPr>
      <w:r>
        <w:t>Th</w:t>
      </w:r>
      <w:r w:rsidR="00A378AF">
        <w:t>e</w:t>
      </w:r>
      <w:r>
        <w:t xml:space="preserve"> withdrawal</w:t>
      </w:r>
      <w:r w:rsidR="00985E95">
        <w:t xml:space="preserve"> </w:t>
      </w:r>
      <w:r>
        <w:t>is publicised with a clear explanation of the grounds of withdrawal</w:t>
      </w:r>
      <w:r w:rsidR="00F80ED6">
        <w:t xml:space="preserve"> and</w:t>
      </w:r>
    </w:p>
    <w:p w14:paraId="4323BA62" w14:textId="77777777" w:rsidR="003D1A1F" w:rsidRDefault="003D1A1F" w:rsidP="00C40982">
      <w:pPr>
        <w:jc w:val="both"/>
      </w:pPr>
    </w:p>
    <w:p w14:paraId="4CB20FC0" w14:textId="3A4D5B1F" w:rsidR="00640531" w:rsidRDefault="00640531" w:rsidP="00C40982">
      <w:pPr>
        <w:pStyle w:val="ListParagraph"/>
        <w:numPr>
          <w:ilvl w:val="0"/>
          <w:numId w:val="1"/>
        </w:numPr>
        <w:jc w:val="both"/>
      </w:pPr>
      <w:r>
        <w:t xml:space="preserve">All </w:t>
      </w:r>
      <w:r w:rsidR="00584C00" w:rsidRPr="00584C00">
        <w:t xml:space="preserve">Church </w:t>
      </w:r>
      <w:r>
        <w:t>schools are informed of the withdrawal and asked to review or withdraw any Equality Policy</w:t>
      </w:r>
      <w:r w:rsidR="004A5B69">
        <w:t xml:space="preserve"> or similar</w:t>
      </w:r>
      <w:r w:rsidR="00F80ED6">
        <w:t>.</w:t>
      </w:r>
    </w:p>
    <w:p w14:paraId="661323E5" w14:textId="77777777" w:rsidR="00640531" w:rsidRDefault="00640531" w:rsidP="00C40982">
      <w:pPr>
        <w:jc w:val="both"/>
      </w:pPr>
      <w:r>
        <w:t xml:space="preserve"> </w:t>
      </w:r>
    </w:p>
    <w:p w14:paraId="0754FEA8" w14:textId="77777777" w:rsidR="00E74BE3" w:rsidRDefault="00E74BE3" w:rsidP="00E74BE3">
      <w:pPr>
        <w:jc w:val="both"/>
      </w:pPr>
    </w:p>
    <w:p w14:paraId="1B63EF64" w14:textId="77777777" w:rsidR="00640531" w:rsidRDefault="00640531" w:rsidP="00FD18ED">
      <w:pPr>
        <w:jc w:val="center"/>
        <w:rPr>
          <w:b/>
          <w:bCs/>
        </w:rPr>
      </w:pPr>
      <w:r>
        <w:rPr>
          <w:b/>
          <w:bCs/>
        </w:rPr>
        <w:t>Protect and Teach</w:t>
      </w:r>
    </w:p>
    <w:p w14:paraId="63E39336" w14:textId="77777777" w:rsidR="00640531" w:rsidRDefault="00640531" w:rsidP="00C40982">
      <w:pPr>
        <w:jc w:val="both"/>
        <w:rPr>
          <w:b/>
          <w:bCs/>
        </w:rPr>
      </w:pPr>
    </w:p>
    <w:p w14:paraId="2C936E30" w14:textId="04FF30BB" w:rsidR="00640531" w:rsidRDefault="00640531" w:rsidP="00C40982">
      <w:pPr>
        <w:jc w:val="both"/>
      </w:pPr>
      <w:r>
        <w:t xml:space="preserve">We are concerned about the promulgation and support of a trans activist ideology in </w:t>
      </w:r>
      <w:r w:rsidR="00FD18ED">
        <w:t xml:space="preserve">Church </w:t>
      </w:r>
      <w:r>
        <w:t xml:space="preserve">schools. </w:t>
      </w:r>
      <w:r w:rsidR="007B08B4">
        <w:t xml:space="preserve">We </w:t>
      </w:r>
      <w:r w:rsidR="00A909AE">
        <w:t xml:space="preserve">have researched what is happening in the South West and are now working with other organisations across the country.  </w:t>
      </w:r>
    </w:p>
    <w:p w14:paraId="2EF6ECAC" w14:textId="77777777" w:rsidR="00A70230" w:rsidRDefault="00A70230" w:rsidP="00C40982">
      <w:pPr>
        <w:jc w:val="both"/>
      </w:pPr>
    </w:p>
    <w:p w14:paraId="51E25607" w14:textId="5F2C2687" w:rsidR="0060105B" w:rsidRDefault="003D1A1F" w:rsidP="00C40982">
      <w:pPr>
        <w:jc w:val="both"/>
      </w:pPr>
      <w:r>
        <w:t>W</w:t>
      </w:r>
      <w:r w:rsidR="00A909AE">
        <w:t xml:space="preserve">e have </w:t>
      </w:r>
      <w:r w:rsidR="00B320A0">
        <w:t xml:space="preserve">discovered </w:t>
      </w:r>
      <w:r w:rsidR="00A909AE">
        <w:t xml:space="preserve">that </w:t>
      </w:r>
      <w:r w:rsidR="00AD1011">
        <w:t xml:space="preserve">over 75% of Church </w:t>
      </w:r>
      <w:r w:rsidR="00B320A0">
        <w:t>s</w:t>
      </w:r>
      <w:r w:rsidR="00AD1011">
        <w:t>chools have fundamentally flawed Equality Policies</w:t>
      </w:r>
      <w:r w:rsidR="00D77176">
        <w:t>.</w:t>
      </w:r>
    </w:p>
    <w:p w14:paraId="730B38AF" w14:textId="77777777" w:rsidR="003D1A1F" w:rsidRPr="00640531" w:rsidRDefault="003D1A1F" w:rsidP="00C40982">
      <w:pPr>
        <w:jc w:val="both"/>
      </w:pPr>
    </w:p>
    <w:p w14:paraId="108A923B" w14:textId="1E493525" w:rsidR="00640531" w:rsidRDefault="003D1A1F" w:rsidP="00C40982">
      <w:pPr>
        <w:jc w:val="both"/>
      </w:pPr>
      <w:r>
        <w:t xml:space="preserve">Appendix </w:t>
      </w:r>
      <w:r w:rsidR="0060105B">
        <w:t>1</w:t>
      </w:r>
      <w:r w:rsidR="00AD1011">
        <w:t xml:space="preserve"> sets out who we are and </w:t>
      </w:r>
      <w:r w:rsidR="00B320A0">
        <w:t>details of our findings.</w:t>
      </w:r>
    </w:p>
    <w:p w14:paraId="4AAC92BD" w14:textId="6686C4B2" w:rsidR="00AD1011" w:rsidRDefault="00AD1011" w:rsidP="00C40982">
      <w:pPr>
        <w:jc w:val="both"/>
      </w:pPr>
      <w:r>
        <w:t xml:space="preserve">Appendix 2 </w:t>
      </w:r>
      <w:r w:rsidR="00D80EF2">
        <w:t xml:space="preserve">sets out two </w:t>
      </w:r>
      <w:r w:rsidR="00DA2A41">
        <w:t>examples of fundamentally flawed policies</w:t>
      </w:r>
      <w:r w:rsidR="00D80EF2">
        <w:t>.</w:t>
      </w:r>
    </w:p>
    <w:p w14:paraId="4E253CAD" w14:textId="77777777" w:rsidR="00985E95" w:rsidRDefault="00985E95" w:rsidP="00C40982">
      <w:pPr>
        <w:jc w:val="both"/>
      </w:pPr>
    </w:p>
    <w:p w14:paraId="046C6E60" w14:textId="77777777" w:rsidR="00B320A0" w:rsidRDefault="00B320A0" w:rsidP="00FD18ED">
      <w:pPr>
        <w:jc w:val="center"/>
        <w:rPr>
          <w:b/>
          <w:bCs/>
        </w:rPr>
      </w:pPr>
    </w:p>
    <w:p w14:paraId="111AAF8B" w14:textId="77777777" w:rsidR="00B320A0" w:rsidRDefault="00B320A0" w:rsidP="00FD18ED">
      <w:pPr>
        <w:jc w:val="center"/>
        <w:rPr>
          <w:b/>
          <w:bCs/>
        </w:rPr>
      </w:pPr>
    </w:p>
    <w:p w14:paraId="24344140" w14:textId="77777777" w:rsidR="00B320A0" w:rsidRDefault="00B320A0" w:rsidP="00FD18ED">
      <w:pPr>
        <w:jc w:val="center"/>
        <w:rPr>
          <w:b/>
          <w:bCs/>
        </w:rPr>
      </w:pPr>
    </w:p>
    <w:p w14:paraId="116AD276" w14:textId="77777777" w:rsidR="00D80EF2" w:rsidRDefault="00D80EF2" w:rsidP="00FD18ED">
      <w:pPr>
        <w:jc w:val="center"/>
        <w:rPr>
          <w:b/>
          <w:bCs/>
        </w:rPr>
      </w:pPr>
    </w:p>
    <w:p w14:paraId="693759FF" w14:textId="5B34BE06" w:rsidR="00985E95" w:rsidRDefault="00985E95" w:rsidP="00FD18ED">
      <w:pPr>
        <w:jc w:val="center"/>
        <w:rPr>
          <w:b/>
          <w:bCs/>
        </w:rPr>
      </w:pPr>
      <w:r>
        <w:rPr>
          <w:b/>
          <w:bCs/>
        </w:rPr>
        <w:lastRenderedPageBreak/>
        <w:t>Why the Guidance is important</w:t>
      </w:r>
    </w:p>
    <w:p w14:paraId="7F697B32" w14:textId="77777777" w:rsidR="00985E95" w:rsidRDefault="00985E95" w:rsidP="00C40982">
      <w:pPr>
        <w:jc w:val="both"/>
        <w:rPr>
          <w:b/>
          <w:bCs/>
        </w:rPr>
      </w:pPr>
    </w:p>
    <w:p w14:paraId="4E46879E" w14:textId="7428B072" w:rsidR="00985E95" w:rsidRDefault="00985E95" w:rsidP="00985E95">
      <w:pPr>
        <w:jc w:val="both"/>
      </w:pPr>
      <w:r w:rsidRPr="00985E95">
        <w:t xml:space="preserve">The </w:t>
      </w:r>
      <w:r w:rsidR="00F62B6A" w:rsidRPr="00985E95">
        <w:t>Foreword</w:t>
      </w:r>
      <w:r w:rsidRPr="00985E95">
        <w:t xml:space="preserve"> is </w:t>
      </w:r>
      <w:r w:rsidR="0071371C">
        <w:t>by</w:t>
      </w:r>
      <w:r w:rsidRPr="00985E95">
        <w:t xml:space="preserve"> </w:t>
      </w:r>
      <w:r w:rsidRPr="004041B9">
        <w:t>The Most Revd and Rt Hon Justin Welby</w:t>
      </w:r>
      <w:r w:rsidR="005A13E3">
        <w:t xml:space="preserve">. </w:t>
      </w:r>
      <w:r w:rsidR="0071371C">
        <w:t xml:space="preserve"> </w:t>
      </w:r>
      <w:r w:rsidR="005A13E3">
        <w:t>T</w:t>
      </w:r>
      <w:r w:rsidR="0071371C">
        <w:t xml:space="preserve">he Guidance is for </w:t>
      </w:r>
      <w:hyperlink r:id="rId9" w:history="1">
        <w:r w:rsidR="0057385F" w:rsidRPr="0057385F">
          <w:rPr>
            <w:rStyle w:val="Hyperlink"/>
          </w:rPr>
          <w:t>all Church Schools</w:t>
        </w:r>
      </w:hyperlink>
    </w:p>
    <w:p w14:paraId="617D809F" w14:textId="77777777" w:rsidR="0071371C" w:rsidRDefault="0071371C" w:rsidP="00985E95">
      <w:pPr>
        <w:jc w:val="both"/>
      </w:pPr>
    </w:p>
    <w:p w14:paraId="09929E35" w14:textId="77777777" w:rsidR="0071371C" w:rsidRPr="0071371C" w:rsidRDefault="0071371C" w:rsidP="0071371C">
      <w:pPr>
        <w:numPr>
          <w:ilvl w:val="0"/>
          <w:numId w:val="9"/>
        </w:numPr>
        <w:jc w:val="both"/>
      </w:pPr>
      <w:r w:rsidRPr="0071371C">
        <w:t>Approximately </w:t>
      </w:r>
      <w:r w:rsidRPr="0071371C">
        <w:rPr>
          <w:b/>
          <w:bCs/>
        </w:rPr>
        <w:t>1 million </w:t>
      </w:r>
      <w:r w:rsidRPr="0071371C">
        <w:t>children attend Church of England schools.</w:t>
      </w:r>
    </w:p>
    <w:p w14:paraId="2714F5FC" w14:textId="77777777" w:rsidR="0071371C" w:rsidRPr="0071371C" w:rsidRDefault="0071371C" w:rsidP="0071371C">
      <w:pPr>
        <w:numPr>
          <w:ilvl w:val="0"/>
          <w:numId w:val="9"/>
        </w:numPr>
        <w:jc w:val="both"/>
      </w:pPr>
      <w:r w:rsidRPr="0071371C">
        <w:t>A </w:t>
      </w:r>
      <w:r w:rsidRPr="0071371C">
        <w:rPr>
          <w:b/>
          <w:bCs/>
        </w:rPr>
        <w:t>quarter</w:t>
      </w:r>
      <w:r w:rsidRPr="0071371C">
        <w:t> of all primary schools and </w:t>
      </w:r>
      <w:r w:rsidRPr="0071371C">
        <w:rPr>
          <w:b/>
          <w:bCs/>
        </w:rPr>
        <w:t>228</w:t>
      </w:r>
      <w:r w:rsidRPr="0071371C">
        <w:t> secondary schools are Church of England.</w:t>
      </w:r>
    </w:p>
    <w:p w14:paraId="6A2D9DA2" w14:textId="77777777" w:rsidR="0071371C" w:rsidRPr="0071371C" w:rsidRDefault="0071371C" w:rsidP="0071371C">
      <w:pPr>
        <w:numPr>
          <w:ilvl w:val="0"/>
          <w:numId w:val="9"/>
        </w:numPr>
        <w:jc w:val="both"/>
      </w:pPr>
      <w:r w:rsidRPr="0071371C">
        <w:t>There are </w:t>
      </w:r>
      <w:r w:rsidRPr="0071371C">
        <w:rPr>
          <w:b/>
          <w:bCs/>
        </w:rPr>
        <w:t>1,540</w:t>
      </w:r>
      <w:r w:rsidRPr="0071371C">
        <w:t> Church of England academies with </w:t>
      </w:r>
      <w:r w:rsidRPr="0071371C">
        <w:rPr>
          <w:b/>
          <w:bCs/>
        </w:rPr>
        <w:t>280</w:t>
      </w:r>
      <w:r w:rsidRPr="0071371C">
        <w:t> Multi Academy Trusts (MATs) holding Church of England Articles. This makes the Church of England the biggest provider of academies in England.</w:t>
      </w:r>
    </w:p>
    <w:p w14:paraId="73054EED" w14:textId="77777777" w:rsidR="0071371C" w:rsidRDefault="0071371C" w:rsidP="0071371C">
      <w:pPr>
        <w:numPr>
          <w:ilvl w:val="0"/>
          <w:numId w:val="9"/>
        </w:numPr>
        <w:jc w:val="both"/>
      </w:pPr>
      <w:r w:rsidRPr="0071371C">
        <w:t>Over </w:t>
      </w:r>
      <w:r w:rsidRPr="0071371C">
        <w:rPr>
          <w:b/>
          <w:bCs/>
        </w:rPr>
        <w:t>500</w:t>
      </w:r>
      <w:r w:rsidRPr="0071371C">
        <w:t> independent schools declare themselves to be Church of England in ethos.</w:t>
      </w:r>
    </w:p>
    <w:p w14:paraId="2707F45F" w14:textId="77777777" w:rsidR="00FD18ED" w:rsidRDefault="00FD18ED" w:rsidP="00FD18ED">
      <w:pPr>
        <w:ind w:left="720"/>
        <w:jc w:val="both"/>
      </w:pPr>
    </w:p>
    <w:p w14:paraId="0E212E28" w14:textId="12ABDCA0" w:rsidR="007A2E3F" w:rsidRDefault="007A2E3F" w:rsidP="007A2E3F">
      <w:pPr>
        <w:jc w:val="both"/>
      </w:pPr>
      <w:r>
        <w:t xml:space="preserve">Thus, 1 million children are taught that they have a “gender identity” and that it is possible to change sex </w:t>
      </w:r>
      <w:r w:rsidR="000369EE">
        <w:t xml:space="preserve">etc </w:t>
      </w:r>
      <w:r>
        <w:t>as a direct consequence of the Guidance</w:t>
      </w:r>
      <w:r w:rsidR="000369EE">
        <w:t xml:space="preserve">. </w:t>
      </w:r>
      <w:r w:rsidR="00D80EF2">
        <w:t>This has</w:t>
      </w:r>
      <w:r w:rsidR="000369EE">
        <w:t xml:space="preserve"> the ‘imprimatur’ of the Archbishop</w:t>
      </w:r>
      <w:r w:rsidR="00D80EF2">
        <w:t xml:space="preserve"> of Canterbury.</w:t>
      </w:r>
    </w:p>
    <w:p w14:paraId="58EFAC06" w14:textId="77777777" w:rsidR="00A739DA" w:rsidRDefault="00A739DA" w:rsidP="007A2E3F">
      <w:pPr>
        <w:jc w:val="both"/>
      </w:pPr>
    </w:p>
    <w:p w14:paraId="2BFBAFE8" w14:textId="44C6BEEC" w:rsidR="0071371C" w:rsidRDefault="0071371C" w:rsidP="00985E95">
      <w:pPr>
        <w:jc w:val="both"/>
      </w:pPr>
      <w:r>
        <w:t xml:space="preserve">If </w:t>
      </w:r>
      <w:r w:rsidR="00A739DA">
        <w:t xml:space="preserve"> any g</w:t>
      </w:r>
      <w:r>
        <w:t>uidance is misleading or harmful</w:t>
      </w:r>
      <w:r w:rsidR="00A739DA">
        <w:t xml:space="preserve">, </w:t>
      </w:r>
      <w:r>
        <w:t xml:space="preserve">in either what it states or what it is foreseeable that people will infer from it </w:t>
      </w:r>
      <w:r w:rsidR="00A739DA">
        <w:t xml:space="preserve">, then it should be  withdrawn </w:t>
      </w:r>
      <w:r w:rsidR="000369EE">
        <w:t>. T</w:t>
      </w:r>
      <w:r w:rsidR="00A739DA">
        <w:t>his is the critical test</w:t>
      </w:r>
    </w:p>
    <w:p w14:paraId="178172EF" w14:textId="63100698" w:rsidR="0071371C" w:rsidRDefault="0071371C" w:rsidP="00985E95">
      <w:pPr>
        <w:jc w:val="both"/>
      </w:pPr>
    </w:p>
    <w:p w14:paraId="7DFC2475" w14:textId="2CCEB31D" w:rsidR="00CA7141" w:rsidRDefault="0071371C" w:rsidP="00985E95">
      <w:pPr>
        <w:jc w:val="both"/>
      </w:pPr>
      <w:r>
        <w:t>The critical test includes “</w:t>
      </w:r>
      <w:r w:rsidR="00D16E99">
        <w:t xml:space="preserve">what </w:t>
      </w:r>
      <w:r>
        <w:t xml:space="preserve"> it is foreseeable that p</w:t>
      </w:r>
      <w:r w:rsidR="00D16E99">
        <w:t xml:space="preserve">eople will infer from </w:t>
      </w:r>
      <w:r w:rsidR="00530A94">
        <w:t>[</w:t>
      </w:r>
      <w:r w:rsidR="00AE3020">
        <w:t>guidance</w:t>
      </w:r>
      <w:r w:rsidR="00CA7141">
        <w:t>]</w:t>
      </w:r>
      <w:r w:rsidR="00D16E99">
        <w:t xml:space="preserve"> </w:t>
      </w:r>
      <w:r w:rsidR="00A378AF">
        <w:t>“</w:t>
      </w:r>
      <w:r w:rsidR="00CA7141">
        <w:t xml:space="preserve">. The responsibility of the Church is for the foreseeable inferences </w:t>
      </w:r>
      <w:r w:rsidR="00AE3020">
        <w:t>that will be made,</w:t>
      </w:r>
    </w:p>
    <w:p w14:paraId="028771FA" w14:textId="23462B91" w:rsidR="00A739DA" w:rsidRDefault="00A739DA" w:rsidP="00985E95">
      <w:pPr>
        <w:jc w:val="both"/>
      </w:pPr>
    </w:p>
    <w:p w14:paraId="48BC4973" w14:textId="737320C6" w:rsidR="0071371C" w:rsidRDefault="00D16E99" w:rsidP="00985E95">
      <w:pPr>
        <w:jc w:val="both"/>
      </w:pPr>
      <w:r>
        <w:t xml:space="preserve"> Note the disingenuous and reprehensible attempt by the Church </w:t>
      </w:r>
      <w:r w:rsidR="00AE3020">
        <w:t xml:space="preserve">in 2022 </w:t>
      </w:r>
      <w:r>
        <w:t xml:space="preserve">to escape responsibility for the </w:t>
      </w:r>
      <w:r w:rsidR="00E80C1E">
        <w:t xml:space="preserve">charge </w:t>
      </w:r>
      <w:r>
        <w:t>that “</w:t>
      </w:r>
      <w:r w:rsidRPr="00D16E99">
        <w:t>children as young as five should be affirmed if they want to identify as the  opposite gender</w:t>
      </w:r>
      <w:r>
        <w:t>” by stating that the Guidance “</w:t>
      </w:r>
      <w:r w:rsidRPr="00D16E99">
        <w:t>doesn’t use the language of affirmation at all,</w:t>
      </w:r>
      <w:r>
        <w:t>”. But it is foreseeable from the tone and the tenor of the Guidance and the clear extent of Stonewall influence that schools or teachers will infer that this is what the Guidance is saying (see Appendix 4)</w:t>
      </w:r>
      <w:r w:rsidR="00D77176">
        <w:t xml:space="preserve">. </w:t>
      </w:r>
    </w:p>
    <w:p w14:paraId="3A015CE3" w14:textId="77777777" w:rsidR="00A739DA" w:rsidRDefault="00A739DA" w:rsidP="00985E95">
      <w:pPr>
        <w:jc w:val="both"/>
      </w:pPr>
    </w:p>
    <w:p w14:paraId="1D0B26CD" w14:textId="17C7FF62" w:rsidR="00A739DA" w:rsidRDefault="00A739DA" w:rsidP="00985E95">
      <w:pPr>
        <w:jc w:val="both"/>
      </w:pPr>
      <w:r>
        <w:t xml:space="preserve">If </w:t>
      </w:r>
      <w:r w:rsidR="00D77176">
        <w:t xml:space="preserve">Church </w:t>
      </w:r>
      <w:r>
        <w:t xml:space="preserve">schools affirm 5 year old girls as boys then the Church cannot </w:t>
      </w:r>
      <w:r w:rsidR="00D77176">
        <w:t xml:space="preserve">escape </w:t>
      </w:r>
      <w:r>
        <w:t>responsibility</w:t>
      </w:r>
      <w:r w:rsidR="00CA7141">
        <w:t xml:space="preserve"> </w:t>
      </w:r>
      <w:r>
        <w:t xml:space="preserve"> </w:t>
      </w:r>
      <w:r w:rsidR="00D77176">
        <w:t>by referring solely to the literal text of the Guidance</w:t>
      </w:r>
      <w:r w:rsidR="00B320A0">
        <w:t>.</w:t>
      </w:r>
      <w:r w:rsidR="00D80EF2">
        <w:t xml:space="preserve"> </w:t>
      </w:r>
    </w:p>
    <w:p w14:paraId="04970CBA" w14:textId="77777777" w:rsidR="00A739DA" w:rsidRDefault="00A739DA" w:rsidP="00E80C1E">
      <w:pPr>
        <w:jc w:val="both"/>
      </w:pPr>
    </w:p>
    <w:p w14:paraId="2ADB9905" w14:textId="19F07414" w:rsidR="006A2E14" w:rsidRDefault="00B320A0" w:rsidP="00E80C1E">
      <w:pPr>
        <w:jc w:val="both"/>
      </w:pPr>
      <w:r>
        <w:t>S</w:t>
      </w:r>
      <w:r w:rsidR="007A2E3F">
        <w:t>chools bear a direct responsibility for what they teach and what they encourage</w:t>
      </w:r>
      <w:r w:rsidR="00A739DA">
        <w:t>.</w:t>
      </w:r>
      <w:r w:rsidR="007A2E3F">
        <w:t xml:space="preserve"> The Guidance is trans ideology and taught as fact</w:t>
      </w:r>
      <w:r w:rsidR="00D80EF2">
        <w:t>.</w:t>
      </w:r>
      <w:r w:rsidR="007A2E3F">
        <w:t xml:space="preserve"> </w:t>
      </w:r>
    </w:p>
    <w:p w14:paraId="5FB6C88D" w14:textId="77777777" w:rsidR="0071371C" w:rsidRDefault="0071371C" w:rsidP="00985E95">
      <w:pPr>
        <w:jc w:val="both"/>
      </w:pPr>
    </w:p>
    <w:p w14:paraId="721047EB" w14:textId="6A547247" w:rsidR="00985E95" w:rsidRPr="00FD18ED" w:rsidRDefault="00D16E99" w:rsidP="00C40982">
      <w:pPr>
        <w:jc w:val="both"/>
      </w:pPr>
      <w:r>
        <w:t xml:space="preserve">The  Guidance is misleading and harmful. </w:t>
      </w:r>
    </w:p>
    <w:p w14:paraId="2F189044" w14:textId="77777777" w:rsidR="003D1A1F" w:rsidRDefault="003D1A1F" w:rsidP="00C40982">
      <w:pPr>
        <w:jc w:val="both"/>
      </w:pPr>
    </w:p>
    <w:p w14:paraId="5C634855" w14:textId="1918A078" w:rsidR="003D1A1F" w:rsidRDefault="003D1A1F" w:rsidP="00FD18ED">
      <w:pPr>
        <w:jc w:val="center"/>
        <w:rPr>
          <w:b/>
          <w:bCs/>
        </w:rPr>
      </w:pPr>
      <w:r>
        <w:rPr>
          <w:b/>
          <w:bCs/>
        </w:rPr>
        <w:t xml:space="preserve">Why </w:t>
      </w:r>
      <w:r w:rsidR="00527D98">
        <w:rPr>
          <w:b/>
          <w:bCs/>
        </w:rPr>
        <w:t xml:space="preserve">the Guidance </w:t>
      </w:r>
      <w:r>
        <w:rPr>
          <w:b/>
          <w:bCs/>
        </w:rPr>
        <w:t>should be withdrawn</w:t>
      </w:r>
    </w:p>
    <w:p w14:paraId="67DAD798" w14:textId="77777777" w:rsidR="003D1A1F" w:rsidRDefault="003D1A1F" w:rsidP="00C40982">
      <w:pPr>
        <w:jc w:val="both"/>
        <w:rPr>
          <w:b/>
          <w:bCs/>
        </w:rPr>
      </w:pPr>
    </w:p>
    <w:p w14:paraId="518DBF94" w14:textId="7A0D2DD7" w:rsidR="00F80ED6" w:rsidRDefault="00A70230" w:rsidP="00C40982">
      <w:pPr>
        <w:pStyle w:val="ListParagraph"/>
        <w:numPr>
          <w:ilvl w:val="0"/>
          <w:numId w:val="2"/>
        </w:numPr>
        <w:jc w:val="both"/>
      </w:pPr>
      <w:r>
        <w:t>The Cass R</w:t>
      </w:r>
      <w:r w:rsidR="00B320A0">
        <w:t>e</w:t>
      </w:r>
      <w:r w:rsidR="00832B90">
        <w:t xml:space="preserve">view </w:t>
      </w:r>
      <w:r>
        <w:t>states</w:t>
      </w:r>
      <w:r w:rsidR="00F80ED6">
        <w:t>:</w:t>
      </w:r>
    </w:p>
    <w:p w14:paraId="162A398F" w14:textId="77777777" w:rsidR="00E14101" w:rsidRDefault="00E14101" w:rsidP="00E14101">
      <w:pPr>
        <w:pStyle w:val="ListParagraph"/>
        <w:jc w:val="both"/>
      </w:pPr>
    </w:p>
    <w:p w14:paraId="79D67B20" w14:textId="0442CEE8" w:rsidR="00E14101" w:rsidRPr="00E14101" w:rsidRDefault="00E14101" w:rsidP="00E14101">
      <w:pPr>
        <w:pStyle w:val="ListParagraph"/>
        <w:jc w:val="both"/>
      </w:pPr>
      <w:r w:rsidRPr="00E14101">
        <w:rPr>
          <w:i/>
          <w:iCs/>
        </w:rPr>
        <w:t xml:space="preserve">“The systematic review showed no clear evidence that social transition in childhood has any positive or negative mental health outcomes, and relatively weak evidence for any effect in adolescence. However, those who had socially transitioned at an earlier age and/or prior to being seen in clinic were more likely to proceed to a medical pathway. (p 31) </w:t>
      </w:r>
      <w:r w:rsidRPr="00E14101">
        <w:t>an</w:t>
      </w:r>
      <w:r>
        <w:t>d</w:t>
      </w:r>
    </w:p>
    <w:p w14:paraId="343E677F" w14:textId="77777777" w:rsidR="00E14101" w:rsidRPr="00E14101" w:rsidRDefault="00E14101" w:rsidP="00E14101">
      <w:pPr>
        <w:pStyle w:val="ListParagraph"/>
      </w:pPr>
    </w:p>
    <w:p w14:paraId="59154A21" w14:textId="77777777" w:rsidR="00E14101" w:rsidRPr="00E14101" w:rsidRDefault="00E14101" w:rsidP="00E14101">
      <w:pPr>
        <w:pStyle w:val="ListParagraph"/>
      </w:pPr>
      <w:r w:rsidRPr="00E14101">
        <w:rPr>
          <w:i/>
          <w:iCs/>
        </w:rPr>
        <w:t xml:space="preserve"> “Social transition may not be thought of as an intervention or treatment, because it is not something that happens in a healthcare setting and it is within the agency of an adolescent to do for themselves. However, in an NHS setting it is important to view it as an active intervention because it may have significant effects on the child or young person in terms of their psychological functioning and longer-term outcomes. (p158)”</w:t>
      </w:r>
      <w:r w:rsidRPr="00E14101">
        <w:t xml:space="preserve"> and</w:t>
      </w:r>
    </w:p>
    <w:p w14:paraId="1EA09E4D" w14:textId="77777777" w:rsidR="00E14101" w:rsidRDefault="00E14101" w:rsidP="004041B9">
      <w:pPr>
        <w:pStyle w:val="ListParagraph"/>
        <w:jc w:val="both"/>
      </w:pPr>
    </w:p>
    <w:p w14:paraId="45FB770B" w14:textId="77777777" w:rsidR="00F80ED6" w:rsidRDefault="00F80ED6" w:rsidP="000B29B2">
      <w:pPr>
        <w:pStyle w:val="ListParagraph"/>
        <w:jc w:val="both"/>
      </w:pPr>
    </w:p>
    <w:p w14:paraId="5B12B883" w14:textId="77777777" w:rsidR="007130C5" w:rsidRPr="000B29B2" w:rsidRDefault="00A70230" w:rsidP="000B29B2">
      <w:pPr>
        <w:pStyle w:val="ListParagraph"/>
        <w:jc w:val="both"/>
        <w:rPr>
          <w:i/>
          <w:iCs/>
        </w:rPr>
      </w:pPr>
      <w:r>
        <w:lastRenderedPageBreak/>
        <w:t xml:space="preserve"> </w:t>
      </w:r>
      <w:r w:rsidRPr="000B29B2">
        <w:rPr>
          <w:i/>
          <w:iCs/>
        </w:rPr>
        <w:t>“Schools have been grappling with how they should respond when a pupil says that they want to socially transition in the school setting. For this reason, it is important that school guidance is able to utilise some of the principles and evidence from the Review. (</w:t>
      </w:r>
      <w:r w:rsidR="007130C5" w:rsidRPr="000B29B2">
        <w:rPr>
          <w:i/>
          <w:iCs/>
        </w:rPr>
        <w:t>p</w:t>
      </w:r>
      <w:r w:rsidRPr="000B29B2">
        <w:rPr>
          <w:i/>
          <w:iCs/>
        </w:rPr>
        <w:t xml:space="preserve">158)” . </w:t>
      </w:r>
    </w:p>
    <w:p w14:paraId="783D596C" w14:textId="77777777" w:rsidR="007130C5" w:rsidRDefault="007130C5" w:rsidP="00C40982">
      <w:pPr>
        <w:pStyle w:val="ListParagraph"/>
        <w:jc w:val="both"/>
      </w:pPr>
    </w:p>
    <w:p w14:paraId="0568253F" w14:textId="77777777" w:rsidR="00E14101" w:rsidRDefault="006A2E14" w:rsidP="00E14101">
      <w:pPr>
        <w:pStyle w:val="ListParagraph"/>
        <w:jc w:val="both"/>
      </w:pPr>
      <w:r>
        <w:t>The Guidance makes no reference to the significance of social transitioning on a child or on their classmates. The Church has not considered this at all.</w:t>
      </w:r>
    </w:p>
    <w:p w14:paraId="06DC0DB0" w14:textId="77777777" w:rsidR="00E14101" w:rsidRDefault="00E14101" w:rsidP="00E14101">
      <w:pPr>
        <w:pStyle w:val="ListParagraph"/>
        <w:jc w:val="both"/>
      </w:pPr>
    </w:p>
    <w:p w14:paraId="3E0A9100" w14:textId="00F2FA41" w:rsidR="00E14101" w:rsidRDefault="00E14101" w:rsidP="00E14101">
      <w:pPr>
        <w:pStyle w:val="ListParagraph"/>
        <w:jc w:val="both"/>
      </w:pPr>
      <w:r w:rsidRPr="00E14101">
        <w:t xml:space="preserve"> This is the “classroom to clinic” pathway which the Church </w:t>
      </w:r>
      <w:r w:rsidR="004041B9">
        <w:t xml:space="preserve"> implicitly supports</w:t>
      </w:r>
      <w:r w:rsidR="00832B90">
        <w:t>.</w:t>
      </w:r>
    </w:p>
    <w:p w14:paraId="6B2CE593" w14:textId="77777777" w:rsidR="00E14101" w:rsidRPr="00E14101" w:rsidRDefault="00E14101" w:rsidP="00E14101">
      <w:pPr>
        <w:pStyle w:val="ListParagraph"/>
        <w:jc w:val="both"/>
      </w:pPr>
    </w:p>
    <w:p w14:paraId="649C6A49" w14:textId="443BF842" w:rsidR="00A70230" w:rsidRDefault="006A2E14" w:rsidP="00C40982">
      <w:pPr>
        <w:pStyle w:val="ListParagraph"/>
        <w:jc w:val="both"/>
      </w:pPr>
      <w:r>
        <w:t xml:space="preserve"> </w:t>
      </w:r>
      <w:r w:rsidR="00F40285">
        <w:t>The Guidance must be withdrawn and any new Guidance must “utilise the principles and evidence from the Review”.</w:t>
      </w:r>
    </w:p>
    <w:p w14:paraId="2BB241FA" w14:textId="77777777" w:rsidR="006A2E14" w:rsidRDefault="006A2E14" w:rsidP="00C40982">
      <w:pPr>
        <w:pStyle w:val="ListParagraph"/>
        <w:jc w:val="both"/>
      </w:pPr>
    </w:p>
    <w:p w14:paraId="7F4595B1" w14:textId="3CB752AC" w:rsidR="006A2E14" w:rsidRDefault="006A2E14" w:rsidP="006A2E14">
      <w:pPr>
        <w:pStyle w:val="ListParagraph"/>
        <w:numPr>
          <w:ilvl w:val="0"/>
          <w:numId w:val="2"/>
        </w:numPr>
        <w:jc w:val="both"/>
      </w:pPr>
      <w:r>
        <w:t>The Cass Re</w:t>
      </w:r>
      <w:r w:rsidR="00832B90">
        <w:t xml:space="preserve">view </w:t>
      </w:r>
      <w:r>
        <w:t>states</w:t>
      </w:r>
      <w:r w:rsidR="0038444C">
        <w:t>:</w:t>
      </w:r>
    </w:p>
    <w:p w14:paraId="32180F17" w14:textId="77777777" w:rsidR="0038444C" w:rsidRPr="004041B9" w:rsidRDefault="0038444C" w:rsidP="004041B9">
      <w:pPr>
        <w:ind w:left="720"/>
        <w:jc w:val="both"/>
        <w:rPr>
          <w:i/>
          <w:iCs/>
        </w:rPr>
      </w:pPr>
    </w:p>
    <w:p w14:paraId="5E4F64B7" w14:textId="49C3ECC3" w:rsidR="0038444C" w:rsidRPr="004041B9" w:rsidRDefault="0038444C" w:rsidP="004041B9">
      <w:pPr>
        <w:ind w:left="720"/>
        <w:jc w:val="both"/>
        <w:rPr>
          <w:i/>
          <w:iCs/>
        </w:rPr>
      </w:pPr>
      <w:r w:rsidRPr="004041B9">
        <w:rPr>
          <w:b/>
          <w:bCs/>
          <w:i/>
          <w:iCs/>
        </w:rPr>
        <w:t>81.</w:t>
      </w:r>
      <w:r w:rsidRPr="004041B9">
        <w:rPr>
          <w:i/>
          <w:iCs/>
        </w:rPr>
        <w:t xml:space="preserve"> The systematic review undertaken by the University of York found multiple studies</w:t>
      </w:r>
    </w:p>
    <w:p w14:paraId="6B6A8C03" w14:textId="70FE5021" w:rsidR="0038444C" w:rsidRPr="004041B9" w:rsidRDefault="0038444C" w:rsidP="00B320A0">
      <w:pPr>
        <w:ind w:left="720"/>
        <w:jc w:val="both"/>
        <w:rPr>
          <w:i/>
          <w:iCs/>
        </w:rPr>
      </w:pPr>
      <w:r w:rsidRPr="004041B9">
        <w:rPr>
          <w:i/>
          <w:iCs/>
        </w:rPr>
        <w:t>demonstrating that puberty blockers exert their intended effect in suppressing puberty, and</w:t>
      </w:r>
      <w:r w:rsidR="00B320A0">
        <w:rPr>
          <w:i/>
          <w:iCs/>
        </w:rPr>
        <w:t xml:space="preserve"> </w:t>
      </w:r>
      <w:r w:rsidR="007A2E3F" w:rsidRPr="004041B9">
        <w:rPr>
          <w:i/>
          <w:iCs/>
        </w:rPr>
        <w:t>also,</w:t>
      </w:r>
      <w:r w:rsidRPr="004041B9">
        <w:rPr>
          <w:i/>
          <w:iCs/>
        </w:rPr>
        <w:t xml:space="preserve"> that bone density is compromised during puberty suppression.</w:t>
      </w:r>
    </w:p>
    <w:p w14:paraId="5664C90D" w14:textId="77777777" w:rsidR="0038444C" w:rsidRPr="004041B9" w:rsidRDefault="0038444C" w:rsidP="004041B9">
      <w:pPr>
        <w:ind w:left="720"/>
        <w:jc w:val="both"/>
        <w:rPr>
          <w:i/>
          <w:iCs/>
        </w:rPr>
      </w:pPr>
    </w:p>
    <w:p w14:paraId="111E4E43" w14:textId="642FDC71" w:rsidR="0038444C" w:rsidRPr="004041B9" w:rsidRDefault="0038444C" w:rsidP="00B320A0">
      <w:pPr>
        <w:ind w:left="720"/>
        <w:jc w:val="both"/>
        <w:rPr>
          <w:i/>
          <w:iCs/>
        </w:rPr>
      </w:pPr>
      <w:r w:rsidRPr="004041B9">
        <w:rPr>
          <w:b/>
          <w:bCs/>
          <w:i/>
          <w:iCs/>
        </w:rPr>
        <w:t>82.</w:t>
      </w:r>
      <w:r w:rsidRPr="004041B9">
        <w:rPr>
          <w:i/>
          <w:iCs/>
        </w:rPr>
        <w:t xml:space="preserve"> However, no changes in gender dysphoria or body satisfaction were demonstrated. There</w:t>
      </w:r>
      <w:r w:rsidR="00B320A0">
        <w:rPr>
          <w:i/>
          <w:iCs/>
        </w:rPr>
        <w:t xml:space="preserve"> </w:t>
      </w:r>
      <w:r w:rsidRPr="004041B9">
        <w:rPr>
          <w:i/>
          <w:iCs/>
        </w:rPr>
        <w:t>was insufficient/inconsistent evidence about the effects of puberty suppression on psychological or psychosocial wellbeing, cognitive development, cardio-metabolic risk or fertility.</w:t>
      </w:r>
    </w:p>
    <w:p w14:paraId="0B047235" w14:textId="77777777" w:rsidR="0038444C" w:rsidRPr="004041B9" w:rsidRDefault="0038444C" w:rsidP="004041B9">
      <w:pPr>
        <w:ind w:left="720"/>
        <w:jc w:val="both"/>
        <w:rPr>
          <w:i/>
          <w:iCs/>
        </w:rPr>
      </w:pPr>
    </w:p>
    <w:p w14:paraId="56483A4D" w14:textId="3AE9E3E0" w:rsidR="0038444C" w:rsidRPr="004041B9" w:rsidRDefault="0038444C" w:rsidP="004041B9">
      <w:pPr>
        <w:ind w:left="720"/>
        <w:jc w:val="both"/>
        <w:rPr>
          <w:i/>
          <w:iCs/>
        </w:rPr>
      </w:pPr>
      <w:r w:rsidRPr="004041B9">
        <w:rPr>
          <w:b/>
          <w:bCs/>
          <w:i/>
          <w:iCs/>
        </w:rPr>
        <w:t>83.</w:t>
      </w:r>
      <w:r w:rsidRPr="004041B9">
        <w:rPr>
          <w:i/>
          <w:iCs/>
        </w:rPr>
        <w:t xml:space="preserve"> Moreover, given that the vast majority of young people started on puberty blockers</w:t>
      </w:r>
    </w:p>
    <w:p w14:paraId="5CCD0CD4" w14:textId="232158D8" w:rsidR="0038444C" w:rsidRDefault="0038444C" w:rsidP="0038444C">
      <w:pPr>
        <w:ind w:left="720"/>
        <w:jc w:val="both"/>
        <w:rPr>
          <w:i/>
          <w:iCs/>
        </w:rPr>
      </w:pPr>
      <w:r w:rsidRPr="004041B9">
        <w:rPr>
          <w:i/>
          <w:iCs/>
        </w:rPr>
        <w:t>proceed from puberty blockers to masculinising/ feminising hormones, there is no evidence that puberty blockers buy time to think, and some concern that they may change the trajectory of psychosexual and gender identity development.</w:t>
      </w:r>
    </w:p>
    <w:p w14:paraId="07D98738" w14:textId="77777777" w:rsidR="00E14101" w:rsidRDefault="00E14101" w:rsidP="0038444C">
      <w:pPr>
        <w:ind w:left="720"/>
        <w:jc w:val="both"/>
        <w:rPr>
          <w:i/>
          <w:iCs/>
        </w:rPr>
      </w:pPr>
    </w:p>
    <w:p w14:paraId="39D617C4" w14:textId="1B28BBB6" w:rsidR="0038444C" w:rsidRDefault="0038444C" w:rsidP="0038444C">
      <w:pPr>
        <w:ind w:left="360"/>
        <w:jc w:val="both"/>
      </w:pPr>
      <w:r>
        <w:t>The Guidance does not discuss puberty blockers. Any Guidance must set out the findings of the Cass Review. Otherwise, children will believe that puberty blockers are a harm free option to resolve their complex distress. The simplistic “gender identity” ideology encourages the belief in such an approach</w:t>
      </w:r>
      <w:r w:rsidR="00B320A0">
        <w:t>.</w:t>
      </w:r>
    </w:p>
    <w:p w14:paraId="537A8BF0" w14:textId="77777777" w:rsidR="00B320A0" w:rsidRDefault="00B320A0" w:rsidP="0038444C">
      <w:pPr>
        <w:ind w:left="360"/>
        <w:jc w:val="both"/>
      </w:pPr>
    </w:p>
    <w:p w14:paraId="7B935D24" w14:textId="04774916" w:rsidR="0038444C" w:rsidRDefault="0038444C" w:rsidP="0038444C">
      <w:pPr>
        <w:ind w:left="360"/>
        <w:jc w:val="both"/>
      </w:pPr>
      <w:r>
        <w:t>The Guidance should be withdrawn immediately</w:t>
      </w:r>
      <w:r w:rsidR="00832B90">
        <w:t>.</w:t>
      </w:r>
    </w:p>
    <w:p w14:paraId="6D31737D" w14:textId="77777777" w:rsidR="0038444C" w:rsidRDefault="0038444C" w:rsidP="0038444C">
      <w:pPr>
        <w:ind w:left="360"/>
        <w:jc w:val="both"/>
      </w:pPr>
    </w:p>
    <w:p w14:paraId="7073F940" w14:textId="77777777" w:rsidR="0038444C" w:rsidRPr="0038444C" w:rsidRDefault="0038444C" w:rsidP="0038444C">
      <w:pPr>
        <w:pStyle w:val="ListParagraph"/>
        <w:jc w:val="both"/>
      </w:pPr>
    </w:p>
    <w:p w14:paraId="5FA65B7E" w14:textId="77777777" w:rsidR="00A70230" w:rsidRDefault="00A70230" w:rsidP="00C40982">
      <w:pPr>
        <w:jc w:val="both"/>
      </w:pPr>
    </w:p>
    <w:p w14:paraId="0C10DCF9" w14:textId="77777777" w:rsidR="007130C5" w:rsidRDefault="00A70230" w:rsidP="00C40982">
      <w:pPr>
        <w:pStyle w:val="ListParagraph"/>
        <w:numPr>
          <w:ilvl w:val="0"/>
          <w:numId w:val="2"/>
        </w:numPr>
        <w:jc w:val="both"/>
      </w:pPr>
      <w:r>
        <w:t>The Cass Review states</w:t>
      </w:r>
      <w:r w:rsidR="00C40982">
        <w:t>:</w:t>
      </w:r>
      <w:r>
        <w:t xml:space="preserve"> </w:t>
      </w:r>
    </w:p>
    <w:p w14:paraId="7DF9FB05" w14:textId="77777777" w:rsidR="007130C5" w:rsidRPr="007130C5" w:rsidRDefault="007130C5" w:rsidP="00C40982">
      <w:pPr>
        <w:pStyle w:val="ListParagraph"/>
        <w:ind w:left="1440"/>
        <w:jc w:val="both"/>
        <w:rPr>
          <w:i/>
          <w:iCs/>
        </w:rPr>
      </w:pPr>
    </w:p>
    <w:p w14:paraId="7A1FE25A" w14:textId="77777777" w:rsidR="007130C5" w:rsidRDefault="00A70230" w:rsidP="00C40982">
      <w:pPr>
        <w:ind w:left="1440"/>
        <w:jc w:val="both"/>
      </w:pPr>
      <w:r w:rsidRPr="007130C5">
        <w:rPr>
          <w:i/>
          <w:iCs/>
        </w:rPr>
        <w:t>“Suicide risk appears to be comparable to other young people with a similar range of mental health and psychosocial challenges. (p186)”</w:t>
      </w:r>
      <w:r>
        <w:t xml:space="preserve"> </w:t>
      </w:r>
    </w:p>
    <w:p w14:paraId="343B9A58" w14:textId="77777777" w:rsidR="007130C5" w:rsidRDefault="007130C5" w:rsidP="00C40982">
      <w:pPr>
        <w:jc w:val="both"/>
      </w:pPr>
    </w:p>
    <w:p w14:paraId="6D9D015A" w14:textId="5F05BCBE" w:rsidR="007130C5" w:rsidRDefault="00832B90" w:rsidP="00C40982">
      <w:pPr>
        <w:ind w:left="720"/>
        <w:jc w:val="both"/>
      </w:pPr>
      <w:r>
        <w:t xml:space="preserve">The </w:t>
      </w:r>
      <w:r w:rsidR="00527D98">
        <w:t xml:space="preserve">Guidance </w:t>
      </w:r>
      <w:r w:rsidR="00A70230">
        <w:t xml:space="preserve">states </w:t>
      </w:r>
      <w:r w:rsidR="00C40982">
        <w:t>:</w:t>
      </w:r>
    </w:p>
    <w:p w14:paraId="3B49BC4D" w14:textId="77777777" w:rsidR="00F80ED6" w:rsidRDefault="00F80ED6" w:rsidP="00C40982">
      <w:pPr>
        <w:ind w:left="720"/>
        <w:jc w:val="both"/>
      </w:pPr>
    </w:p>
    <w:p w14:paraId="16C9B150" w14:textId="77777777" w:rsidR="007130C5" w:rsidRDefault="00A70230" w:rsidP="00C40982">
      <w:pPr>
        <w:ind w:left="1440"/>
        <w:jc w:val="both"/>
      </w:pPr>
      <w:r w:rsidRPr="007130C5">
        <w:rPr>
          <w:i/>
          <w:iCs/>
        </w:rPr>
        <w:t xml:space="preserve"> “45 per cent of trans young people and 22 per cent of lesbian, gay and bi young people who aren’t trans have attempted to take their own life”  (</w:t>
      </w:r>
      <w:r w:rsidR="007130C5">
        <w:rPr>
          <w:i/>
          <w:iCs/>
        </w:rPr>
        <w:t>p</w:t>
      </w:r>
      <w:r w:rsidRPr="007130C5">
        <w:rPr>
          <w:i/>
          <w:iCs/>
        </w:rPr>
        <w:t>7).</w:t>
      </w:r>
      <w:r>
        <w:t xml:space="preserve"> </w:t>
      </w:r>
    </w:p>
    <w:p w14:paraId="52A40DA6" w14:textId="77777777" w:rsidR="007130C5" w:rsidRDefault="007130C5" w:rsidP="00C40982">
      <w:pPr>
        <w:ind w:left="720"/>
        <w:jc w:val="both"/>
      </w:pPr>
    </w:p>
    <w:p w14:paraId="7AAC6CFF" w14:textId="7A26A4C7" w:rsidR="007130C5" w:rsidRDefault="00A70230" w:rsidP="00C40982">
      <w:pPr>
        <w:ind w:left="720"/>
        <w:jc w:val="both"/>
      </w:pPr>
      <w:r>
        <w:t>This i</w:t>
      </w:r>
      <w:r w:rsidR="00640FAE">
        <w:t>s</w:t>
      </w:r>
      <w:r w:rsidR="00584C00">
        <w:t xml:space="preserve"> false</w:t>
      </w:r>
      <w:r w:rsidR="00640FAE">
        <w:t xml:space="preserve">. This </w:t>
      </w:r>
      <w:r w:rsidR="00584C00">
        <w:t xml:space="preserve">falsehood </w:t>
      </w:r>
      <w:r w:rsidR="00640FAE">
        <w:t xml:space="preserve">infects the whole of the </w:t>
      </w:r>
      <w:r w:rsidR="00527D98">
        <w:t>Guidance</w:t>
      </w:r>
      <w:r w:rsidR="00640FAE">
        <w:t xml:space="preserve">. </w:t>
      </w:r>
      <w:r w:rsidR="00487186">
        <w:t>This encourages the claim “</w:t>
      </w:r>
      <w:r w:rsidR="007130C5">
        <w:t>B</w:t>
      </w:r>
      <w:r w:rsidR="00487186">
        <w:t xml:space="preserve">etter a trans child than a dead child” which has been used </w:t>
      </w:r>
      <w:r w:rsidR="00C40982">
        <w:t xml:space="preserve"> to bully and mislead parents. It is also dangerous as it promotes suicidal ideation in children</w:t>
      </w:r>
      <w:r w:rsidR="00832B90">
        <w:t>.</w:t>
      </w:r>
    </w:p>
    <w:p w14:paraId="1833EB81" w14:textId="77777777" w:rsidR="00DA2A41" w:rsidRDefault="00DA2A41" w:rsidP="00C40982">
      <w:pPr>
        <w:ind w:left="720"/>
        <w:jc w:val="both"/>
      </w:pPr>
    </w:p>
    <w:p w14:paraId="37FEB46D" w14:textId="7F3148FD" w:rsidR="00DA2A41" w:rsidRPr="003E055E" w:rsidRDefault="00DA2A41" w:rsidP="00DA2A41">
      <w:pPr>
        <w:pStyle w:val="ListParagraph"/>
      </w:pPr>
      <w:r w:rsidRPr="003E055E">
        <w:t xml:space="preserve">The ‘statistics’ have been </w:t>
      </w:r>
      <w:r w:rsidR="00D80EF2">
        <w:t xml:space="preserve">taken </w:t>
      </w:r>
      <w:r w:rsidRPr="003E055E">
        <w:t xml:space="preserve">from </w:t>
      </w:r>
      <w:proofErr w:type="spellStart"/>
      <w:r w:rsidRPr="003E055E">
        <w:t>Stonewall’s</w:t>
      </w:r>
      <w:proofErr w:type="spellEnd"/>
      <w:r w:rsidRPr="003E055E">
        <w:t xml:space="preserve"> ‘SCHOOL REPORT</w:t>
      </w:r>
      <w:r>
        <w:t xml:space="preserve">; </w:t>
      </w:r>
      <w:r w:rsidRPr="003E055E">
        <w:t xml:space="preserve">The experiences of lesbian, gay, bi and trans young people in Britain’s schools in 2017’.  Unlike the statistics in the Cass report the suicide rates quoted were based on a </w:t>
      </w:r>
      <w:r w:rsidRPr="003E055E">
        <w:lastRenderedPageBreak/>
        <w:t>study conducted via a questionnaire using a non-probability sampling method.  A total of 3,713 LGBT young people aged 11-19 completed the Stonewall questionnaire, 594 of whom were young people who self-identified as transgender.  The Samaritans are clear that care should</w:t>
      </w:r>
      <w:r>
        <w:t xml:space="preserve"> be</w:t>
      </w:r>
      <w:r w:rsidRPr="003E055E">
        <w:t xml:space="preserve"> taken when the number of people studied is small, as:</w:t>
      </w:r>
    </w:p>
    <w:p w14:paraId="415C9DA1" w14:textId="77777777" w:rsidR="00DA2A41" w:rsidRPr="003E055E" w:rsidRDefault="00DA2A41" w:rsidP="00DA2A41">
      <w:pPr>
        <w:pStyle w:val="ListParagraph"/>
      </w:pPr>
    </w:p>
    <w:p w14:paraId="64234443" w14:textId="755E4B50" w:rsidR="00DA2A41" w:rsidRPr="00DA2A41" w:rsidRDefault="00DA2A41" w:rsidP="00DA2A41">
      <w:pPr>
        <w:pStyle w:val="ListParagraph"/>
        <w:ind w:left="1440"/>
        <w:rPr>
          <w:i/>
          <w:iCs/>
        </w:rPr>
      </w:pPr>
      <w:r w:rsidRPr="003E055E">
        <w:rPr>
          <w:i/>
          <w:iCs/>
        </w:rPr>
        <w:t>Smaller populations often produce rates that are less reliable as the rates … are based on small numbers. Therefore, differences in the number of suicides may have a bigger impact on the rate than in a larger population.</w:t>
      </w:r>
    </w:p>
    <w:p w14:paraId="0A8DB2B3" w14:textId="77777777" w:rsidR="007130C5" w:rsidRDefault="007130C5" w:rsidP="00D80EF2">
      <w:pPr>
        <w:jc w:val="both"/>
      </w:pPr>
    </w:p>
    <w:p w14:paraId="790D36A5" w14:textId="5A19FD52" w:rsidR="00A70230" w:rsidRDefault="00487186" w:rsidP="00C40982">
      <w:pPr>
        <w:ind w:left="720"/>
        <w:jc w:val="both"/>
      </w:pPr>
      <w:r>
        <w:t>The Guidance should be withdrawn immediately</w:t>
      </w:r>
      <w:r w:rsidR="00E63E17">
        <w:t>.</w:t>
      </w:r>
      <w:r>
        <w:t xml:space="preserve"> </w:t>
      </w:r>
    </w:p>
    <w:p w14:paraId="0AF64BEF" w14:textId="77777777" w:rsidR="00640FAE" w:rsidRDefault="00640FAE" w:rsidP="00C40982">
      <w:pPr>
        <w:pStyle w:val="ListParagraph"/>
        <w:jc w:val="both"/>
      </w:pPr>
    </w:p>
    <w:p w14:paraId="25CBCA32" w14:textId="77777777" w:rsidR="00C40982" w:rsidRDefault="00640FAE" w:rsidP="00C40982">
      <w:pPr>
        <w:pStyle w:val="ListParagraph"/>
        <w:numPr>
          <w:ilvl w:val="0"/>
          <w:numId w:val="2"/>
        </w:numPr>
        <w:jc w:val="both"/>
      </w:pPr>
      <w:r>
        <w:t>The Cass Review states</w:t>
      </w:r>
      <w:r w:rsidR="00C40982">
        <w:t>:</w:t>
      </w:r>
    </w:p>
    <w:p w14:paraId="1618A6C0" w14:textId="77777777" w:rsidR="00C40982" w:rsidRDefault="00C40982" w:rsidP="00C40982">
      <w:pPr>
        <w:pStyle w:val="ListParagraph"/>
        <w:jc w:val="both"/>
      </w:pPr>
    </w:p>
    <w:p w14:paraId="4AC1CB46" w14:textId="77777777" w:rsidR="00C40982" w:rsidRDefault="00640FAE" w:rsidP="00C40982">
      <w:pPr>
        <w:pStyle w:val="ListParagraph"/>
        <w:ind w:left="1440"/>
        <w:jc w:val="both"/>
      </w:pPr>
      <w:r>
        <w:t xml:space="preserve"> “</w:t>
      </w:r>
      <w:r w:rsidRPr="00226D3D">
        <w:rPr>
          <w:i/>
          <w:iCs/>
        </w:rPr>
        <w:t>Clinicians working with</w:t>
      </w:r>
      <w:r w:rsidRPr="00C40982">
        <w:rPr>
          <w:i/>
          <w:iCs/>
        </w:rPr>
        <w:t xml:space="preserve"> </w:t>
      </w:r>
      <w:r w:rsidRPr="002B3A04">
        <w:rPr>
          <w:i/>
          <w:iCs/>
        </w:rPr>
        <w:t>children and young people experiencing gender</w:t>
      </w:r>
      <w:r w:rsidRPr="00C40982">
        <w:rPr>
          <w:i/>
          <w:iCs/>
        </w:rPr>
        <w:t xml:space="preserve"> </w:t>
      </w:r>
      <w:r w:rsidRPr="002B3A04">
        <w:rPr>
          <w:i/>
          <w:iCs/>
        </w:rPr>
        <w:t>dysphoria have highlighted that safeguarding</w:t>
      </w:r>
      <w:r w:rsidRPr="00C40982">
        <w:rPr>
          <w:i/>
          <w:iCs/>
        </w:rPr>
        <w:t xml:space="preserve"> </w:t>
      </w:r>
      <w:r w:rsidRPr="002B3A04">
        <w:rPr>
          <w:i/>
          <w:iCs/>
        </w:rPr>
        <w:t>issues can be overshadowed or confused when</w:t>
      </w:r>
      <w:r w:rsidRPr="00C40982">
        <w:rPr>
          <w:i/>
          <w:iCs/>
        </w:rPr>
        <w:t xml:space="preserve"> </w:t>
      </w:r>
      <w:r w:rsidRPr="002B3A04">
        <w:rPr>
          <w:i/>
          <w:iCs/>
        </w:rPr>
        <w:t>there is focus on gender or in situations where</w:t>
      </w:r>
      <w:r w:rsidRPr="00C40982">
        <w:rPr>
          <w:i/>
          <w:iCs/>
        </w:rPr>
        <w:t xml:space="preserve"> </w:t>
      </w:r>
      <w:r w:rsidRPr="002B3A04">
        <w:rPr>
          <w:i/>
          <w:iCs/>
        </w:rPr>
        <w:t>there are high levels of gender-related distress.</w:t>
      </w:r>
      <w:r w:rsidRPr="00C40982">
        <w:rPr>
          <w:i/>
          <w:iCs/>
        </w:rPr>
        <w:t>(</w:t>
      </w:r>
      <w:r w:rsidR="007130C5" w:rsidRPr="00C40982">
        <w:rPr>
          <w:i/>
          <w:iCs/>
        </w:rPr>
        <w:t>p</w:t>
      </w:r>
      <w:r w:rsidRPr="00C40982">
        <w:rPr>
          <w:i/>
          <w:iCs/>
        </w:rPr>
        <w:t>142)”</w:t>
      </w:r>
      <w:r>
        <w:t xml:space="preserve"> </w:t>
      </w:r>
    </w:p>
    <w:p w14:paraId="07A006C3" w14:textId="77777777" w:rsidR="00C40982" w:rsidRDefault="00C40982" w:rsidP="00C40982">
      <w:pPr>
        <w:pStyle w:val="ListParagraph"/>
        <w:jc w:val="both"/>
      </w:pPr>
    </w:p>
    <w:p w14:paraId="21302183" w14:textId="210E1ED5" w:rsidR="00640FAE" w:rsidRDefault="00640FAE" w:rsidP="00C40982">
      <w:pPr>
        <w:pStyle w:val="ListParagraph"/>
        <w:jc w:val="both"/>
      </w:pPr>
      <w:r>
        <w:t xml:space="preserve">The focus on </w:t>
      </w:r>
      <w:r w:rsidR="00855506">
        <w:t>“</w:t>
      </w:r>
      <w:r>
        <w:t xml:space="preserve">gender </w:t>
      </w:r>
      <w:r w:rsidR="00855506">
        <w:t>identity”</w:t>
      </w:r>
      <w:r w:rsidR="007130C5">
        <w:t xml:space="preserve"> </w:t>
      </w:r>
      <w:r>
        <w:t xml:space="preserve">throughout the </w:t>
      </w:r>
      <w:r w:rsidR="00527D98">
        <w:t xml:space="preserve">Guidance </w:t>
      </w:r>
      <w:r>
        <w:t>means that there is a real risk that this will overshadow safeguarding issues</w:t>
      </w:r>
      <w:r w:rsidR="00AE3020">
        <w:t xml:space="preserve">. See Appendix 2 for the fundamental safeguarding failure by the An </w:t>
      </w:r>
      <w:proofErr w:type="spellStart"/>
      <w:r w:rsidR="00AE3020">
        <w:t>Daras</w:t>
      </w:r>
      <w:proofErr w:type="spellEnd"/>
      <w:r w:rsidR="00AE3020">
        <w:t xml:space="preserve"> MAT</w:t>
      </w:r>
      <w:r w:rsidR="00832B90">
        <w:t>.</w:t>
      </w:r>
    </w:p>
    <w:p w14:paraId="4E825AAF" w14:textId="77777777" w:rsidR="00E63E17" w:rsidRDefault="00E63E17" w:rsidP="00C40982">
      <w:pPr>
        <w:pStyle w:val="ListParagraph"/>
        <w:jc w:val="both"/>
      </w:pPr>
    </w:p>
    <w:p w14:paraId="79DDB8F9" w14:textId="77777777" w:rsidR="00E63E17" w:rsidRDefault="00E63E17" w:rsidP="00C40982">
      <w:pPr>
        <w:pStyle w:val="ListParagraph"/>
        <w:jc w:val="both"/>
      </w:pPr>
      <w:r>
        <w:t>The Guidance should be rewritten to ensure that safeguarding is given priority.</w:t>
      </w:r>
    </w:p>
    <w:p w14:paraId="32622DAB" w14:textId="77777777" w:rsidR="00C40982" w:rsidRDefault="00C40982" w:rsidP="003942CD">
      <w:pPr>
        <w:jc w:val="both"/>
      </w:pPr>
    </w:p>
    <w:p w14:paraId="4BE2F3DE" w14:textId="77777777" w:rsidR="00640FAE" w:rsidRDefault="00640FAE" w:rsidP="00C40982">
      <w:pPr>
        <w:pStyle w:val="ListParagraph"/>
        <w:jc w:val="both"/>
      </w:pPr>
    </w:p>
    <w:p w14:paraId="5CB259A6" w14:textId="48E3BDA9" w:rsidR="00640FAE" w:rsidRDefault="00640FAE" w:rsidP="00C40982">
      <w:pPr>
        <w:pStyle w:val="ListParagraph"/>
        <w:numPr>
          <w:ilvl w:val="0"/>
          <w:numId w:val="2"/>
        </w:numPr>
        <w:jc w:val="both"/>
      </w:pPr>
      <w:r>
        <w:t>The C</w:t>
      </w:r>
      <w:r w:rsidR="0038444C">
        <w:t>hurch</w:t>
      </w:r>
      <w:r>
        <w:t xml:space="preserve"> has not prepared guidance about the bullying of any other group of children. </w:t>
      </w:r>
      <w:r w:rsidR="00487186">
        <w:t xml:space="preserve">The </w:t>
      </w:r>
      <w:r w:rsidR="00E63E17">
        <w:t xml:space="preserve">over emphasis on HBT bullying </w:t>
      </w:r>
      <w:r w:rsidR="00487186">
        <w:t>fail</w:t>
      </w:r>
      <w:r w:rsidR="00E63E17">
        <w:t>s to acknowledge other types of bullying. General guidance could have been provided to condemn bullying across all groups. The failure to</w:t>
      </w:r>
      <w:r w:rsidR="00487186">
        <w:t xml:space="preserve"> do this is evidence of the ideological capture of the C</w:t>
      </w:r>
      <w:r w:rsidR="00DA2A41">
        <w:t>hurch</w:t>
      </w:r>
    </w:p>
    <w:p w14:paraId="41261284" w14:textId="77777777" w:rsidR="009C569C" w:rsidRDefault="009C569C" w:rsidP="009C569C">
      <w:pPr>
        <w:pStyle w:val="ListParagraph"/>
        <w:jc w:val="both"/>
      </w:pPr>
    </w:p>
    <w:p w14:paraId="6CA12A4B" w14:textId="77777777" w:rsidR="0060105B" w:rsidRDefault="0060105B" w:rsidP="00C40982">
      <w:pPr>
        <w:pStyle w:val="ListParagraph"/>
        <w:jc w:val="both"/>
      </w:pPr>
    </w:p>
    <w:p w14:paraId="7DE05F00" w14:textId="54A0BD74" w:rsidR="0060105B" w:rsidRDefault="0060105B" w:rsidP="00C40982">
      <w:pPr>
        <w:pStyle w:val="ListParagraph"/>
        <w:numPr>
          <w:ilvl w:val="0"/>
          <w:numId w:val="2"/>
        </w:numPr>
        <w:jc w:val="both"/>
      </w:pPr>
      <w:r>
        <w:t>The Guidance is proselytising for a Stonewall trans activist position. See Appendix 3. It encourages schools to do the same.</w:t>
      </w:r>
      <w:r w:rsidR="001A0C2A">
        <w:t xml:space="preserve"> The </w:t>
      </w:r>
      <w:r w:rsidR="001A0C2A" w:rsidRPr="001A0C2A">
        <w:t xml:space="preserve">emphasis throughout the Guidance is on children having a gender identity </w:t>
      </w:r>
      <w:r w:rsidR="00832B90">
        <w:t>as</w:t>
      </w:r>
      <w:r w:rsidR="001A0C2A" w:rsidRPr="001A0C2A">
        <w:t xml:space="preserve"> a fact.  </w:t>
      </w:r>
      <w:r w:rsidR="00832B90">
        <w:t xml:space="preserve">This is contrary to the Education Act 1996 </w:t>
      </w:r>
      <w:hyperlink r:id="rId10" w:history="1">
        <w:r w:rsidR="00832B90" w:rsidRPr="00832B90">
          <w:rPr>
            <w:rStyle w:val="Hyperlink"/>
          </w:rPr>
          <w:t>s406</w:t>
        </w:r>
      </w:hyperlink>
      <w:r w:rsidR="00832B90">
        <w:t xml:space="preserve"> and </w:t>
      </w:r>
      <w:hyperlink r:id="rId11" w:history="1">
        <w:r w:rsidR="00832B90" w:rsidRPr="00832B90">
          <w:rPr>
            <w:rStyle w:val="Hyperlink"/>
          </w:rPr>
          <w:t>s407</w:t>
        </w:r>
      </w:hyperlink>
    </w:p>
    <w:p w14:paraId="23A98873" w14:textId="77777777" w:rsidR="00C40982" w:rsidRDefault="00C40982" w:rsidP="00C40982">
      <w:pPr>
        <w:pStyle w:val="ListParagraph"/>
        <w:jc w:val="both"/>
      </w:pPr>
    </w:p>
    <w:p w14:paraId="0AD9C8EC" w14:textId="77777777" w:rsidR="00A70230" w:rsidRDefault="00A70230" w:rsidP="003942CD">
      <w:pPr>
        <w:jc w:val="both"/>
      </w:pPr>
    </w:p>
    <w:p w14:paraId="09816476" w14:textId="47928639" w:rsidR="003E055E" w:rsidRDefault="003E055E" w:rsidP="00CC2081">
      <w:pPr>
        <w:pStyle w:val="ListParagraph"/>
        <w:numPr>
          <w:ilvl w:val="0"/>
          <w:numId w:val="2"/>
        </w:numPr>
        <w:jc w:val="both"/>
        <w:rPr>
          <w:i/>
          <w:iCs/>
        </w:rPr>
      </w:pPr>
      <w:r w:rsidRPr="003E055E">
        <w:t>The Guidance is completely reliant upon information supplied by Stonewall</w:t>
      </w:r>
      <w:r w:rsidR="00DA2A41">
        <w:t xml:space="preserve"> </w:t>
      </w:r>
    </w:p>
    <w:p w14:paraId="11C1D825" w14:textId="69C46C36" w:rsidR="003E055E" w:rsidRDefault="003E055E" w:rsidP="00CC2081">
      <w:pPr>
        <w:pStyle w:val="ListParagraph"/>
        <w:jc w:val="both"/>
      </w:pPr>
      <w:r>
        <w:t xml:space="preserve">The flawed basis of the Stonewall suicide claims </w:t>
      </w:r>
      <w:r w:rsidR="00DA2A41">
        <w:t xml:space="preserve">(see (3) above) </w:t>
      </w:r>
      <w:r>
        <w:t>should encourage</w:t>
      </w:r>
      <w:r w:rsidR="00CC2081">
        <w:t xml:space="preserve"> </w:t>
      </w:r>
      <w:r w:rsidR="000369EE">
        <w:t>the Church</w:t>
      </w:r>
      <w:r>
        <w:t xml:space="preserve"> to regard any information provided by a trans activist group with scepticism and not as ‘gospel’. Such a scepticism undermines the very basis </w:t>
      </w:r>
      <w:r w:rsidR="003942CD">
        <w:t xml:space="preserve">and justification </w:t>
      </w:r>
      <w:r>
        <w:t>for the Guidance</w:t>
      </w:r>
      <w:r w:rsidR="003942CD">
        <w:t>.</w:t>
      </w:r>
    </w:p>
    <w:p w14:paraId="03C3EC38" w14:textId="77777777" w:rsidR="000369EE" w:rsidRDefault="000369EE" w:rsidP="003E055E">
      <w:pPr>
        <w:pStyle w:val="ListParagraph"/>
      </w:pPr>
    </w:p>
    <w:p w14:paraId="51A2AADB" w14:textId="22B6533B" w:rsidR="0038444C" w:rsidRDefault="0038444C" w:rsidP="003E055E">
      <w:pPr>
        <w:pStyle w:val="ListParagraph"/>
      </w:pPr>
      <w:r>
        <w:t xml:space="preserve">The </w:t>
      </w:r>
      <w:r w:rsidR="009F3EEB">
        <w:t>Guidance should be withdrawn and any new version should not be based upon Stonewall claims</w:t>
      </w:r>
      <w:r w:rsidR="003942CD">
        <w:t xml:space="preserve">. </w:t>
      </w:r>
    </w:p>
    <w:p w14:paraId="7385B92A" w14:textId="77777777" w:rsidR="0038444C" w:rsidRDefault="0038444C" w:rsidP="003E055E">
      <w:pPr>
        <w:pStyle w:val="ListParagraph"/>
      </w:pPr>
    </w:p>
    <w:p w14:paraId="4166EFED" w14:textId="0A1B59E1" w:rsidR="000369EE" w:rsidRDefault="0038444C" w:rsidP="00CC2081">
      <w:pPr>
        <w:pStyle w:val="ListParagraph"/>
        <w:numPr>
          <w:ilvl w:val="0"/>
          <w:numId w:val="2"/>
        </w:numPr>
        <w:jc w:val="both"/>
      </w:pPr>
      <w:r>
        <w:t>The Guidance makes no mention of the importance of explaining (in an age appropriate manner) the fact that children can take medical decisions about transitioning without understanding the consequences . Th</w:t>
      </w:r>
      <w:r w:rsidR="000369EE">
        <w:t>e</w:t>
      </w:r>
      <w:r>
        <w:t xml:space="preserve"> adverse consequence</w:t>
      </w:r>
      <w:r w:rsidR="000369EE">
        <w:t xml:space="preserve">s </w:t>
      </w:r>
      <w:r>
        <w:t xml:space="preserve">need to be explained. </w:t>
      </w:r>
    </w:p>
    <w:p w14:paraId="71961F27" w14:textId="77777777" w:rsidR="003942CD" w:rsidRDefault="003942CD" w:rsidP="003942CD">
      <w:pPr>
        <w:pStyle w:val="ListParagraph"/>
      </w:pPr>
    </w:p>
    <w:p w14:paraId="38F69C70" w14:textId="0E49D46C" w:rsidR="0038444C" w:rsidRDefault="0038444C" w:rsidP="000369EE">
      <w:pPr>
        <w:pStyle w:val="ListParagraph"/>
      </w:pPr>
      <w:r>
        <w:t>The Guidance should be withdrawn</w:t>
      </w:r>
      <w:r w:rsidR="009F3EEB">
        <w:t xml:space="preserve"> and updated</w:t>
      </w:r>
    </w:p>
    <w:p w14:paraId="4D550047" w14:textId="77777777" w:rsidR="0038444C" w:rsidRDefault="0038444C" w:rsidP="0038444C"/>
    <w:p w14:paraId="69464A04" w14:textId="77777777" w:rsidR="000369EE" w:rsidRDefault="009F3EEB" w:rsidP="004041B9">
      <w:pPr>
        <w:pStyle w:val="ListParagraph"/>
        <w:numPr>
          <w:ilvl w:val="0"/>
          <w:numId w:val="2"/>
        </w:numPr>
      </w:pPr>
      <w:r>
        <w:t>There are young people who de transition. This cohort of distress</w:t>
      </w:r>
      <w:r w:rsidR="005A13E3">
        <w:t xml:space="preserve">ed </w:t>
      </w:r>
      <w:r>
        <w:t xml:space="preserve">young people must be referred to in any objective Guidance. </w:t>
      </w:r>
    </w:p>
    <w:p w14:paraId="6196DF53" w14:textId="77777777" w:rsidR="003942CD" w:rsidRDefault="003942CD" w:rsidP="003942CD">
      <w:pPr>
        <w:pStyle w:val="ListParagraph"/>
      </w:pPr>
    </w:p>
    <w:p w14:paraId="3DF37AC5" w14:textId="5653D604" w:rsidR="0038444C" w:rsidRDefault="009F3EEB" w:rsidP="000369EE">
      <w:pPr>
        <w:pStyle w:val="ListParagraph"/>
      </w:pPr>
      <w:r>
        <w:t>The Guidance must be withdrawn and updated</w:t>
      </w:r>
    </w:p>
    <w:p w14:paraId="42A2D583" w14:textId="77777777" w:rsidR="003E055E" w:rsidRPr="003E055E" w:rsidRDefault="003E055E" w:rsidP="003E055E">
      <w:pPr>
        <w:pStyle w:val="ListParagraph"/>
      </w:pPr>
    </w:p>
    <w:p w14:paraId="4E7482BF" w14:textId="77777777" w:rsidR="00CC2081" w:rsidRDefault="00CC2081" w:rsidP="00CC2081">
      <w:pPr>
        <w:jc w:val="both"/>
      </w:pPr>
    </w:p>
    <w:p w14:paraId="67A91D01" w14:textId="5F9C7CD3" w:rsidR="00652E5E" w:rsidRDefault="00CC2081" w:rsidP="00CC2081">
      <w:pPr>
        <w:pStyle w:val="ListParagraph"/>
        <w:numPr>
          <w:ilvl w:val="0"/>
          <w:numId w:val="2"/>
        </w:numPr>
        <w:jc w:val="both"/>
      </w:pPr>
      <w:r>
        <w:t>The</w:t>
      </w:r>
      <w:r w:rsidR="00F40285">
        <w:t xml:space="preserve"> </w:t>
      </w:r>
      <w:hyperlink r:id="rId12" w:history="1">
        <w:r w:rsidR="00F40285" w:rsidRPr="00F40285">
          <w:rPr>
            <w:rStyle w:val="Hyperlink"/>
          </w:rPr>
          <w:t>public sector equality duty</w:t>
        </w:r>
      </w:hyperlink>
      <w:r>
        <w:t xml:space="preserve"> requires schools</w:t>
      </w:r>
    </w:p>
    <w:p w14:paraId="5DCAB0C3" w14:textId="77777777" w:rsidR="00652E5E" w:rsidRDefault="00652E5E" w:rsidP="00652E5E">
      <w:pPr>
        <w:pStyle w:val="ListParagraph"/>
      </w:pPr>
    </w:p>
    <w:p w14:paraId="3BE50066" w14:textId="6CD343B6" w:rsidR="00CC2081" w:rsidRDefault="00652E5E" w:rsidP="00652E5E">
      <w:pPr>
        <w:pStyle w:val="ListParagraph"/>
        <w:ind w:left="1440"/>
        <w:jc w:val="both"/>
        <w:rPr>
          <w:i/>
          <w:iCs/>
        </w:rPr>
      </w:pPr>
      <w:r w:rsidRPr="00652E5E">
        <w:rPr>
          <w:i/>
          <w:iCs/>
        </w:rPr>
        <w:t>to have due regard to the need to</w:t>
      </w:r>
      <w:r>
        <w:rPr>
          <w:i/>
          <w:iCs/>
        </w:rPr>
        <w:t>..</w:t>
      </w:r>
      <w:r w:rsidRPr="00652E5E">
        <w:rPr>
          <w:color w:val="1E1E1E"/>
          <w:shd w:val="clear" w:color="auto" w:fill="FFFFFF"/>
        </w:rPr>
        <w:t xml:space="preserve"> </w:t>
      </w:r>
      <w:r w:rsidRPr="00652E5E">
        <w:rPr>
          <w:i/>
          <w:iCs/>
        </w:rPr>
        <w:t>foster good relations between persons who share a relevant protected characteristic and persons who do not share it</w:t>
      </w:r>
    </w:p>
    <w:p w14:paraId="4EBA08E1" w14:textId="77777777" w:rsidR="00652E5E" w:rsidRDefault="00652E5E" w:rsidP="00652E5E">
      <w:pPr>
        <w:pStyle w:val="ListParagraph"/>
        <w:jc w:val="both"/>
        <w:rPr>
          <w:i/>
          <w:iCs/>
        </w:rPr>
      </w:pPr>
    </w:p>
    <w:p w14:paraId="07B68FF9" w14:textId="2F462CBD" w:rsidR="00652E5E" w:rsidRPr="00652E5E" w:rsidRDefault="00652E5E" w:rsidP="00652E5E">
      <w:pPr>
        <w:pStyle w:val="ListParagraph"/>
        <w:jc w:val="both"/>
      </w:pPr>
      <w:r>
        <w:t xml:space="preserve">The Guidance does not </w:t>
      </w:r>
      <w:r w:rsidR="00F40285">
        <w:t>give any regard to this duty</w:t>
      </w:r>
      <w:r>
        <w:t>. This is a straightforward breach of the Equality Act</w:t>
      </w:r>
      <w:r w:rsidR="00F40285">
        <w:t>.</w:t>
      </w:r>
    </w:p>
    <w:p w14:paraId="25498C2F" w14:textId="77777777" w:rsidR="007B08B4" w:rsidRDefault="007B08B4" w:rsidP="00C40982">
      <w:pPr>
        <w:pStyle w:val="ListParagraph"/>
        <w:jc w:val="both"/>
      </w:pPr>
    </w:p>
    <w:p w14:paraId="1193BEF8" w14:textId="77777777" w:rsidR="00CB0CBF" w:rsidRDefault="00CB0CBF" w:rsidP="00C40982">
      <w:pPr>
        <w:pStyle w:val="ListParagraph"/>
        <w:jc w:val="both"/>
      </w:pPr>
    </w:p>
    <w:p w14:paraId="6C11E60A" w14:textId="5C17D4CF" w:rsidR="00CB0CBF" w:rsidRDefault="005A13E3" w:rsidP="00C40982">
      <w:pPr>
        <w:pStyle w:val="ListParagraph"/>
        <w:numPr>
          <w:ilvl w:val="0"/>
          <w:numId w:val="2"/>
        </w:numPr>
        <w:jc w:val="both"/>
      </w:pPr>
      <w:r>
        <w:t xml:space="preserve">The Guidance </w:t>
      </w:r>
      <w:r w:rsidR="00CB0CBF">
        <w:t xml:space="preserve">is in breach of </w:t>
      </w:r>
      <w:hyperlink r:id="rId13" w:tgtFrame="_blank" w:history="1">
        <w:r w:rsidR="00CB0CBF">
          <w:rPr>
            <w:rStyle w:val="Hyperlink"/>
            <w:color w:val="954F72"/>
          </w:rPr>
          <w:t>The Public Sector Equality Duty: guidance for public authorities</w:t>
        </w:r>
      </w:hyperlink>
      <w:r w:rsidR="00CB0CBF">
        <w:t xml:space="preserve">. </w:t>
      </w:r>
      <w:r w:rsidR="007130C5">
        <w:t xml:space="preserve"> </w:t>
      </w:r>
      <w:r w:rsidR="00CB0CBF">
        <w:t>This states:</w:t>
      </w:r>
    </w:p>
    <w:p w14:paraId="05B30572" w14:textId="77777777" w:rsidR="00CB0CBF" w:rsidRDefault="00CB0CBF" w:rsidP="00C40982">
      <w:pPr>
        <w:pStyle w:val="ListParagraph"/>
        <w:jc w:val="both"/>
      </w:pPr>
    </w:p>
    <w:p w14:paraId="3FE4AAF9" w14:textId="77777777" w:rsidR="00CB0CBF" w:rsidRDefault="00CB0CBF" w:rsidP="00C40982">
      <w:pPr>
        <w:pStyle w:val="ListParagraph"/>
        <w:ind w:left="1440"/>
        <w:jc w:val="both"/>
        <w:rPr>
          <w:i/>
          <w:iCs/>
        </w:rPr>
      </w:pPr>
      <w:r>
        <w:rPr>
          <w:i/>
          <w:iCs/>
        </w:rPr>
        <w:t xml:space="preserve">[Schools] </w:t>
      </w:r>
      <w:r w:rsidRPr="00CB0CBF">
        <w:rPr>
          <w:i/>
          <w:iCs/>
        </w:rPr>
        <w:t>should not use  concepts such as gender or gender identity, which are not encoded in the Act and can be understood in different ways.</w:t>
      </w:r>
    </w:p>
    <w:p w14:paraId="427FF404" w14:textId="77777777" w:rsidR="00CB0CBF" w:rsidRDefault="00CB0CBF" w:rsidP="00C40982">
      <w:pPr>
        <w:pStyle w:val="ListParagraph"/>
        <w:jc w:val="both"/>
        <w:rPr>
          <w:i/>
          <w:iCs/>
        </w:rPr>
      </w:pPr>
    </w:p>
    <w:p w14:paraId="41C103F6" w14:textId="3E225542" w:rsidR="00CB0CBF" w:rsidRDefault="00CB0CBF" w:rsidP="00C40982">
      <w:pPr>
        <w:pStyle w:val="ListParagraph"/>
        <w:jc w:val="both"/>
      </w:pPr>
      <w:r>
        <w:t xml:space="preserve">The </w:t>
      </w:r>
      <w:r w:rsidR="005A13E3">
        <w:t xml:space="preserve">Guidance </w:t>
      </w:r>
      <w:r>
        <w:t xml:space="preserve">uses “gender identity” at </w:t>
      </w:r>
      <w:r w:rsidR="008D3802">
        <w:t>29 occasions</w:t>
      </w:r>
      <w:r w:rsidR="00DA2A41">
        <w:t>.</w:t>
      </w:r>
    </w:p>
    <w:p w14:paraId="5386FC04" w14:textId="77777777" w:rsidR="005A13E3" w:rsidRDefault="005A13E3" w:rsidP="00AE3020">
      <w:pPr>
        <w:jc w:val="both"/>
      </w:pPr>
    </w:p>
    <w:p w14:paraId="31C089EB" w14:textId="45A1B9C7" w:rsidR="005A13E3" w:rsidRDefault="005A13E3" w:rsidP="00C40982">
      <w:pPr>
        <w:pStyle w:val="ListParagraph"/>
        <w:jc w:val="both"/>
      </w:pPr>
      <w:r>
        <w:t>The Guidance should be withdrawn immediately as it is direct conflict with statutory guidance.</w:t>
      </w:r>
    </w:p>
    <w:p w14:paraId="24C1CB49" w14:textId="77777777" w:rsidR="008D2CD2" w:rsidRDefault="008D2CD2" w:rsidP="00C40982">
      <w:pPr>
        <w:pStyle w:val="ListParagraph"/>
        <w:jc w:val="both"/>
      </w:pPr>
    </w:p>
    <w:p w14:paraId="39A07DF8" w14:textId="77777777" w:rsidR="008D2CD2" w:rsidRDefault="008D2CD2" w:rsidP="008D2CD2">
      <w:pPr>
        <w:pStyle w:val="ListParagraph"/>
        <w:numPr>
          <w:ilvl w:val="0"/>
          <w:numId w:val="2"/>
        </w:numPr>
        <w:jc w:val="both"/>
      </w:pPr>
      <w:r>
        <w:t>The Gu</w:t>
      </w:r>
      <w:r w:rsidR="00BD589A">
        <w:t>idance states;</w:t>
      </w:r>
    </w:p>
    <w:p w14:paraId="5D0D73C0" w14:textId="77777777" w:rsidR="00BD589A" w:rsidRDefault="00BD589A" w:rsidP="00BD589A">
      <w:pPr>
        <w:jc w:val="both"/>
      </w:pPr>
    </w:p>
    <w:p w14:paraId="681E72BA" w14:textId="77777777" w:rsidR="00BD589A" w:rsidRDefault="00BD589A" w:rsidP="00BD589A">
      <w:pPr>
        <w:ind w:left="1440"/>
        <w:jc w:val="both"/>
        <w:rPr>
          <w:i/>
          <w:iCs/>
        </w:rPr>
      </w:pPr>
      <w:r w:rsidRPr="00BD589A">
        <w:rPr>
          <w:i/>
          <w:iCs/>
        </w:rPr>
        <w:t>“Trans young people may require specific support in order to feel comfortable at school, for example, schools may need to make changes to toilet facilities or a trans young person might require support to change their name or the pronoun by which they are referred to by staff and classmates.” (p19)</w:t>
      </w:r>
    </w:p>
    <w:p w14:paraId="73242B93" w14:textId="77777777" w:rsidR="00BD589A" w:rsidRDefault="00BD589A" w:rsidP="00BD589A">
      <w:pPr>
        <w:ind w:left="1440"/>
        <w:jc w:val="both"/>
        <w:rPr>
          <w:i/>
          <w:iCs/>
        </w:rPr>
      </w:pPr>
    </w:p>
    <w:p w14:paraId="4DA896B8" w14:textId="77777777" w:rsidR="00BD589A" w:rsidRDefault="00BD589A" w:rsidP="00BD589A">
      <w:pPr>
        <w:ind w:left="720"/>
        <w:jc w:val="both"/>
      </w:pPr>
      <w:r>
        <w:t>There is no mention of parents, or clinical support. This is activist social transitioning</w:t>
      </w:r>
    </w:p>
    <w:p w14:paraId="57AAF579" w14:textId="43F169F6" w:rsidR="00BD589A" w:rsidRPr="00BD589A" w:rsidRDefault="00BD589A" w:rsidP="00BD589A">
      <w:pPr>
        <w:ind w:left="720"/>
        <w:jc w:val="both"/>
      </w:pPr>
      <w:r>
        <w:t>This is directly contrary to the very cautious response required by</w:t>
      </w:r>
      <w:r w:rsidR="009F3EEB">
        <w:t xml:space="preserve"> the </w:t>
      </w:r>
      <w:r>
        <w:t xml:space="preserve"> Cass</w:t>
      </w:r>
      <w:r w:rsidR="009F3EEB">
        <w:t xml:space="preserve"> Review</w:t>
      </w:r>
    </w:p>
    <w:p w14:paraId="5497FA9F" w14:textId="77777777" w:rsidR="009C569C" w:rsidRDefault="009C569C" w:rsidP="00C40982">
      <w:pPr>
        <w:pStyle w:val="ListParagraph"/>
        <w:jc w:val="both"/>
      </w:pPr>
    </w:p>
    <w:p w14:paraId="65769388" w14:textId="77777777" w:rsidR="008D3802" w:rsidRDefault="008D3802" w:rsidP="00C40982">
      <w:pPr>
        <w:pStyle w:val="ListParagraph"/>
        <w:jc w:val="both"/>
      </w:pPr>
    </w:p>
    <w:p w14:paraId="1106A638" w14:textId="77777777" w:rsidR="008D3802" w:rsidRDefault="008D3802" w:rsidP="00C40982">
      <w:pPr>
        <w:pStyle w:val="ListParagraph"/>
        <w:numPr>
          <w:ilvl w:val="0"/>
          <w:numId w:val="2"/>
        </w:numPr>
        <w:jc w:val="both"/>
      </w:pPr>
      <w:r>
        <w:t xml:space="preserve">The </w:t>
      </w:r>
      <w:r w:rsidR="008D2CD2">
        <w:t>Guidance</w:t>
      </w:r>
      <w:r w:rsidR="009C569C">
        <w:t xml:space="preserve"> </w:t>
      </w:r>
      <w:r w:rsidR="00507FA1">
        <w:t xml:space="preserve">fundamentally </w:t>
      </w:r>
      <w:r>
        <w:t>misrepresents the Equality Act</w:t>
      </w:r>
    </w:p>
    <w:p w14:paraId="472375B4" w14:textId="77777777" w:rsidR="00507FA1" w:rsidRDefault="00507FA1" w:rsidP="00C40982">
      <w:pPr>
        <w:jc w:val="both"/>
      </w:pPr>
    </w:p>
    <w:p w14:paraId="36675F8B" w14:textId="730BDAD0" w:rsidR="00507FA1" w:rsidRDefault="00507FA1" w:rsidP="00C40982">
      <w:pPr>
        <w:ind w:left="1440"/>
        <w:jc w:val="both"/>
        <w:rPr>
          <w:i/>
          <w:iCs/>
        </w:rPr>
      </w:pPr>
      <w:r w:rsidRPr="00507FA1">
        <w:rPr>
          <w:i/>
          <w:iCs/>
        </w:rPr>
        <w:t xml:space="preserve">The protected characteristic of gender reassignment only works one way – not being transgender is not a protected characteristic. </w:t>
      </w:r>
      <w:r w:rsidR="007130C5" w:rsidRPr="00507FA1">
        <w:rPr>
          <w:i/>
          <w:iCs/>
        </w:rPr>
        <w:t>Consequently,</w:t>
      </w:r>
      <w:r w:rsidRPr="00507FA1">
        <w:rPr>
          <w:i/>
          <w:iCs/>
        </w:rPr>
        <w:t xml:space="preserve"> schools can make adjustments to meet the needs of a trans pupil without being accused of discriminating against non-trans pupils. </w:t>
      </w:r>
      <w:r>
        <w:rPr>
          <w:i/>
          <w:iCs/>
        </w:rPr>
        <w:t>(</w:t>
      </w:r>
      <w:r w:rsidR="0069104A">
        <w:rPr>
          <w:i/>
          <w:iCs/>
        </w:rPr>
        <w:t>p</w:t>
      </w:r>
      <w:r>
        <w:rPr>
          <w:i/>
          <w:iCs/>
        </w:rPr>
        <w:t>14)</w:t>
      </w:r>
    </w:p>
    <w:p w14:paraId="36C93994" w14:textId="77777777" w:rsidR="00507FA1" w:rsidRDefault="00507FA1" w:rsidP="00C40982">
      <w:pPr>
        <w:ind w:left="1440"/>
        <w:jc w:val="both"/>
        <w:rPr>
          <w:i/>
          <w:iCs/>
        </w:rPr>
      </w:pPr>
    </w:p>
    <w:p w14:paraId="60B2B3B0" w14:textId="3B7876C9" w:rsidR="00507FA1" w:rsidRDefault="00507FA1" w:rsidP="00C40982">
      <w:pPr>
        <w:ind w:left="720"/>
        <w:jc w:val="both"/>
      </w:pPr>
      <w:r>
        <w:t>The</w:t>
      </w:r>
      <w:r w:rsidR="00AE3020">
        <w:t xml:space="preserve"> Guidance</w:t>
      </w:r>
      <w:r>
        <w:t xml:space="preserve"> is legally illiterate</w:t>
      </w:r>
      <w:r w:rsidR="005A13E3">
        <w:t xml:space="preserve">. Schools have understood the Guidance  to require  boys who claim to be girls should use the girl’s changing rooms. </w:t>
      </w:r>
    </w:p>
    <w:p w14:paraId="0F43EE12" w14:textId="77777777" w:rsidR="005A13E3" w:rsidRDefault="005A13E3" w:rsidP="00C40982">
      <w:pPr>
        <w:ind w:left="720"/>
        <w:jc w:val="both"/>
      </w:pPr>
    </w:p>
    <w:p w14:paraId="777051AA" w14:textId="74026F15" w:rsidR="005A13E3" w:rsidRDefault="005A13E3" w:rsidP="00C40982">
      <w:pPr>
        <w:ind w:left="720"/>
        <w:jc w:val="both"/>
      </w:pPr>
      <w:r>
        <w:t>The Guidance should be withdrawn and updated so it does not misrepresent the law</w:t>
      </w:r>
      <w:r w:rsidR="003942CD">
        <w:t>.</w:t>
      </w:r>
    </w:p>
    <w:p w14:paraId="42A4475F" w14:textId="77777777" w:rsidR="00507FA1" w:rsidRDefault="00507FA1" w:rsidP="00C40982">
      <w:pPr>
        <w:ind w:left="720"/>
        <w:jc w:val="both"/>
      </w:pPr>
    </w:p>
    <w:p w14:paraId="3352D896" w14:textId="1C6C631B" w:rsidR="00507FA1" w:rsidRDefault="00507FA1" w:rsidP="00C40982">
      <w:pPr>
        <w:pStyle w:val="ListParagraph"/>
        <w:numPr>
          <w:ilvl w:val="0"/>
          <w:numId w:val="2"/>
        </w:numPr>
        <w:jc w:val="both"/>
      </w:pPr>
      <w:r>
        <w:t xml:space="preserve">The </w:t>
      </w:r>
      <w:r w:rsidR="009C569C">
        <w:t xml:space="preserve">Guidance </w:t>
      </w:r>
      <w:r>
        <w:t xml:space="preserve">makes no mention </w:t>
      </w:r>
      <w:r w:rsidR="00533FA0">
        <w:t>of the Human Rights Act</w:t>
      </w:r>
      <w:r w:rsidR="00527D98">
        <w:t xml:space="preserve"> </w:t>
      </w:r>
      <w:r w:rsidR="00CA66CD">
        <w:t>.</w:t>
      </w:r>
      <w:r w:rsidR="005A13E3">
        <w:t xml:space="preserve"> This is a fundamental failing. The Guidance should be withdrawn and updated </w:t>
      </w:r>
      <w:r w:rsidR="003942CD">
        <w:t>.</w:t>
      </w:r>
      <w:r w:rsidR="00CA66CD">
        <w:t xml:space="preserve"> </w:t>
      </w:r>
    </w:p>
    <w:p w14:paraId="0C4BBA80" w14:textId="77777777" w:rsidR="00CA66CD" w:rsidRDefault="00CA66CD" w:rsidP="00C40982">
      <w:pPr>
        <w:jc w:val="both"/>
      </w:pPr>
    </w:p>
    <w:p w14:paraId="503E8954" w14:textId="745BCD94" w:rsidR="00CA66CD" w:rsidRPr="004041B9" w:rsidRDefault="00CA66CD" w:rsidP="00C40982">
      <w:pPr>
        <w:pStyle w:val="ListParagraph"/>
        <w:numPr>
          <w:ilvl w:val="0"/>
          <w:numId w:val="2"/>
        </w:numPr>
        <w:shd w:val="clear" w:color="auto" w:fill="FFFFFF"/>
        <w:jc w:val="both"/>
      </w:pPr>
      <w:r>
        <w:t xml:space="preserve">There is no  proper consideration of members of staff who do not accept the trans activist position. In respect of adults see </w:t>
      </w:r>
      <w:hyperlink r:id="rId14" w:tgtFrame="_blank" w:history="1">
        <w:r w:rsidRPr="00CA66CD">
          <w:rPr>
            <w:color w:val="4472C4" w:themeColor="accent1"/>
          </w:rPr>
          <w:t>Forstater</w:t>
        </w:r>
      </w:hyperlink>
      <w:r w:rsidRPr="00CA66CD">
        <w:t xml:space="preserve"> , </w:t>
      </w:r>
      <w:hyperlink r:id="rId15" w:tgtFrame="_blank" w:history="1">
        <w:r w:rsidRPr="00CA66CD">
          <w:rPr>
            <w:color w:val="44546A" w:themeColor="text2"/>
          </w:rPr>
          <w:t>Meade</w:t>
        </w:r>
      </w:hyperlink>
      <w:r w:rsidRPr="00CA66CD">
        <w:rPr>
          <w:color w:val="44546A" w:themeColor="text2"/>
        </w:rPr>
        <w:t xml:space="preserve"> </w:t>
      </w:r>
      <w:r w:rsidRPr="00CA66CD">
        <w:t xml:space="preserve"> and </w:t>
      </w:r>
      <w:hyperlink r:id="rId16" w:history="1">
        <w:r w:rsidRPr="00CA66CD">
          <w:rPr>
            <w:color w:val="44546A" w:themeColor="text2"/>
          </w:rPr>
          <w:t>Phoenix</w:t>
        </w:r>
      </w:hyperlink>
      <w:r w:rsidRPr="00CA66CD">
        <w:rPr>
          <w:color w:val="44546A" w:themeColor="text2"/>
        </w:rPr>
        <w:t xml:space="preserve">. </w:t>
      </w:r>
    </w:p>
    <w:p w14:paraId="20C24B35" w14:textId="77777777" w:rsidR="005A13E3" w:rsidRDefault="005A13E3" w:rsidP="004041B9">
      <w:pPr>
        <w:pStyle w:val="ListParagraph"/>
      </w:pPr>
    </w:p>
    <w:p w14:paraId="102CC65B" w14:textId="322F1E16" w:rsidR="005A13E3" w:rsidRPr="00CA66CD" w:rsidRDefault="005A13E3" w:rsidP="00652E5E">
      <w:pPr>
        <w:shd w:val="clear" w:color="auto" w:fill="FFFFFF"/>
        <w:ind w:left="360"/>
        <w:jc w:val="both"/>
      </w:pPr>
      <w:r>
        <w:t>This is a fundamental fault. See the approach taken by Bath and Wells Multi Academy Trust set out in Appendix 2. The Guidance must be withdrawn immediately</w:t>
      </w:r>
    </w:p>
    <w:p w14:paraId="0A274AA3" w14:textId="77777777" w:rsidR="00CA66CD" w:rsidRDefault="00CA66CD" w:rsidP="00C40982">
      <w:pPr>
        <w:pStyle w:val="ListParagraph"/>
        <w:jc w:val="both"/>
      </w:pPr>
    </w:p>
    <w:p w14:paraId="20671101" w14:textId="2CF246D5" w:rsidR="00CA66CD" w:rsidRPr="00CA66CD" w:rsidRDefault="005A13E3" w:rsidP="004041B9">
      <w:pPr>
        <w:pStyle w:val="ListParagraph"/>
        <w:numPr>
          <w:ilvl w:val="0"/>
          <w:numId w:val="2"/>
        </w:numPr>
        <w:shd w:val="clear" w:color="auto" w:fill="FFFFFF"/>
        <w:jc w:val="both"/>
      </w:pPr>
      <w:r w:rsidRPr="005A13E3">
        <w:t xml:space="preserve">There is no  proper consideration </w:t>
      </w:r>
      <w:r>
        <w:t xml:space="preserve">of </w:t>
      </w:r>
      <w:r w:rsidR="00CA66CD">
        <w:t>children</w:t>
      </w:r>
      <w:r>
        <w:t xml:space="preserve"> </w:t>
      </w:r>
      <w:r w:rsidRPr="005A13E3">
        <w:t xml:space="preserve">who do not accept the trans activist position. </w:t>
      </w:r>
      <w:r w:rsidR="00CA66CD">
        <w:t xml:space="preserve"> </w:t>
      </w:r>
      <w:r>
        <w:t>S</w:t>
      </w:r>
      <w:r w:rsidR="00CA66CD">
        <w:t xml:space="preserve">ee </w:t>
      </w:r>
      <w:hyperlink r:id="rId17" w:history="1">
        <w:r w:rsidR="00CA66CD" w:rsidRPr="00CA66CD">
          <w:rPr>
            <w:color w:val="4472C4" w:themeColor="accent1"/>
          </w:rPr>
          <w:t>Keeping children safe in education 2023 Statutory guidance for schools and colleges</w:t>
        </w:r>
      </w:hyperlink>
      <w:r w:rsidR="00CA66CD" w:rsidRPr="00CA66CD">
        <w:rPr>
          <w:color w:val="4472C4" w:themeColor="accent1"/>
        </w:rPr>
        <w:t xml:space="preserve"> </w:t>
      </w:r>
    </w:p>
    <w:p w14:paraId="2D041946" w14:textId="77777777" w:rsidR="00CA66CD" w:rsidRPr="00CA66CD" w:rsidRDefault="00CA66CD" w:rsidP="00C40982">
      <w:pPr>
        <w:shd w:val="clear" w:color="auto" w:fill="FFFFFF"/>
        <w:jc w:val="both"/>
      </w:pPr>
    </w:p>
    <w:p w14:paraId="114A57F7" w14:textId="77777777" w:rsidR="00CA66CD" w:rsidRPr="00855506" w:rsidRDefault="00CA66CD" w:rsidP="00C40982">
      <w:pPr>
        <w:shd w:val="clear" w:color="auto" w:fill="FFFFFF"/>
        <w:ind w:left="1440"/>
        <w:jc w:val="both"/>
        <w:rPr>
          <w:i/>
          <w:iCs/>
        </w:rPr>
      </w:pPr>
      <w:r w:rsidRPr="00855506">
        <w:rPr>
          <w:i/>
          <w:iCs/>
        </w:rPr>
        <w:t>28 Emotional abuse: the persistent emotional maltreatment of a child such as to cause severe and adverse effects on the child’s emotional development ….It may include not giving the child opportunities to express their views, deliberately silencing them or ‘making fun’ of what they say …</w:t>
      </w:r>
    </w:p>
    <w:p w14:paraId="6C1D67C8" w14:textId="77777777" w:rsidR="00CA66CD" w:rsidRDefault="00CA66CD" w:rsidP="00C40982">
      <w:pPr>
        <w:pStyle w:val="ListParagraph"/>
        <w:jc w:val="both"/>
      </w:pPr>
    </w:p>
    <w:p w14:paraId="3F2367AE" w14:textId="1A7472FD" w:rsidR="00CA66CD" w:rsidRDefault="00CA66CD" w:rsidP="00C40982">
      <w:pPr>
        <w:pStyle w:val="ListParagraph"/>
        <w:jc w:val="both"/>
      </w:pPr>
      <w:r>
        <w:t xml:space="preserve">This is a safeguarding issue for your schools. We know of numerous children who are afraid to express gender critical views. </w:t>
      </w:r>
      <w:r w:rsidR="00855506">
        <w:t xml:space="preserve">This is emotional abuse which you </w:t>
      </w:r>
      <w:r w:rsidR="000271F3">
        <w:t>encourage and condone.</w:t>
      </w:r>
    </w:p>
    <w:p w14:paraId="4C4D59FF" w14:textId="77777777" w:rsidR="009C569C" w:rsidRDefault="009C569C" w:rsidP="00C40982">
      <w:pPr>
        <w:pStyle w:val="ListParagraph"/>
        <w:jc w:val="both"/>
      </w:pPr>
    </w:p>
    <w:p w14:paraId="4E827908" w14:textId="006C00F2" w:rsidR="009C569C" w:rsidRDefault="009C569C" w:rsidP="00C40982">
      <w:pPr>
        <w:pStyle w:val="ListParagraph"/>
        <w:jc w:val="both"/>
      </w:pPr>
      <w:r>
        <w:t>We know of children who have been bullied for expressing gender critical views</w:t>
      </w:r>
      <w:r w:rsidR="000271F3">
        <w:t>.</w:t>
      </w:r>
    </w:p>
    <w:p w14:paraId="3063B2B1" w14:textId="77777777" w:rsidR="005A13E3" w:rsidRDefault="005A13E3" w:rsidP="00C40982">
      <w:pPr>
        <w:pStyle w:val="ListParagraph"/>
        <w:jc w:val="both"/>
      </w:pPr>
    </w:p>
    <w:p w14:paraId="2903568C" w14:textId="49508ACF" w:rsidR="005A13E3" w:rsidRDefault="005A13E3" w:rsidP="00C40982">
      <w:pPr>
        <w:pStyle w:val="ListParagraph"/>
        <w:jc w:val="both"/>
      </w:pPr>
      <w:r>
        <w:t>The Church colludes with bullying and with emotional abuse. The Guidance must be withdrawn immediately</w:t>
      </w:r>
    </w:p>
    <w:p w14:paraId="20747818" w14:textId="77777777" w:rsidR="00D80EF2" w:rsidRDefault="00D80EF2" w:rsidP="00C40982">
      <w:pPr>
        <w:pStyle w:val="ListParagraph"/>
        <w:jc w:val="both"/>
      </w:pPr>
    </w:p>
    <w:p w14:paraId="5E76FFA0" w14:textId="3B3409B0" w:rsidR="00D80EF2" w:rsidRDefault="00D80EF2" w:rsidP="00D80EF2">
      <w:pPr>
        <w:pStyle w:val="ListParagraph"/>
        <w:numPr>
          <w:ilvl w:val="0"/>
          <w:numId w:val="2"/>
        </w:numPr>
        <w:jc w:val="both"/>
      </w:pPr>
      <w:r w:rsidRPr="00D80EF2">
        <w:t>Please also note the Supreme Court in </w:t>
      </w:r>
      <w:r w:rsidRPr="00D80EF2">
        <w:rPr>
          <w:i/>
          <w:iCs/>
        </w:rPr>
        <w:t>R (A) v. Secretary of State for the Home Department </w:t>
      </w:r>
      <w:hyperlink r:id="rId18" w:tooltip="Link to BAILII version" w:history="1">
        <w:r w:rsidRPr="00D80EF2">
          <w:rPr>
            <w:rStyle w:val="Hyperlink"/>
          </w:rPr>
          <w:t>[2021] UKSC 37</w:t>
        </w:r>
      </w:hyperlink>
      <w:r w:rsidRPr="00D80EF2">
        <w:t> at para [44] and summarised at para [84]: "a policy will be unlawful if it misdirects officials as to their legal obligations."</w:t>
      </w:r>
    </w:p>
    <w:p w14:paraId="7E6A093C" w14:textId="77777777" w:rsidR="00E63E17" w:rsidRDefault="00E63E17" w:rsidP="00C40982">
      <w:pPr>
        <w:pStyle w:val="ListParagraph"/>
        <w:jc w:val="both"/>
      </w:pPr>
    </w:p>
    <w:p w14:paraId="765C4BE7" w14:textId="7EF60610" w:rsidR="00A22388" w:rsidRDefault="00000000" w:rsidP="00FD18ED">
      <w:pPr>
        <w:pStyle w:val="ListParagraph"/>
        <w:ind w:left="0"/>
        <w:jc w:val="center"/>
        <w:rPr>
          <w:b/>
          <w:bCs/>
        </w:rPr>
      </w:pPr>
      <w:hyperlink r:id="rId19" w:history="1">
        <w:r w:rsidR="0069104A" w:rsidRPr="0069104A">
          <w:rPr>
            <w:rStyle w:val="Hyperlink"/>
            <w:b/>
            <w:bCs/>
          </w:rPr>
          <w:t>The Church of England response to the Cass Report</w:t>
        </w:r>
      </w:hyperlink>
    </w:p>
    <w:p w14:paraId="080BF401" w14:textId="77777777" w:rsidR="0069104A" w:rsidRDefault="0069104A" w:rsidP="009C569C">
      <w:pPr>
        <w:pStyle w:val="ListParagraph"/>
        <w:ind w:left="0"/>
        <w:jc w:val="both"/>
      </w:pPr>
    </w:p>
    <w:p w14:paraId="4DD8D09B" w14:textId="7843106F" w:rsidR="00A22388" w:rsidRDefault="00A22388" w:rsidP="009C569C">
      <w:pPr>
        <w:pStyle w:val="ListParagraph"/>
        <w:ind w:left="0"/>
        <w:jc w:val="both"/>
      </w:pPr>
      <w:r>
        <w:t>The C</w:t>
      </w:r>
      <w:r w:rsidR="0069104A">
        <w:t xml:space="preserve">hurch of </w:t>
      </w:r>
      <w:r>
        <w:t>E</w:t>
      </w:r>
      <w:r w:rsidR="0069104A">
        <w:t>ngland has responded  to the Cass Report</w:t>
      </w:r>
      <w:r>
        <w:t xml:space="preserve"> :</w:t>
      </w:r>
    </w:p>
    <w:p w14:paraId="11C7B589" w14:textId="77777777" w:rsidR="00A22388" w:rsidRDefault="00A22388" w:rsidP="009C569C">
      <w:pPr>
        <w:pStyle w:val="ListParagraph"/>
        <w:ind w:left="0"/>
        <w:jc w:val="both"/>
      </w:pPr>
    </w:p>
    <w:p w14:paraId="358BF979" w14:textId="77777777" w:rsidR="00A22388" w:rsidRDefault="00A22388" w:rsidP="00A22388">
      <w:pPr>
        <w:pStyle w:val="ListParagraph"/>
        <w:jc w:val="both"/>
      </w:pPr>
      <w:r w:rsidRPr="00A22388">
        <w:rPr>
          <w:i/>
          <w:iCs/>
        </w:rPr>
        <w:t xml:space="preserve">We agree with Dr Cass's conclusions that, as far as any form of social transitioning is concerned, a very cautious approach is necessary, and should involve full collaboration and consultation with parents and medical professionals. </w:t>
      </w:r>
      <w:r w:rsidRPr="00A22388">
        <w:rPr>
          <w:b/>
          <w:bCs/>
          <w:i/>
          <w:iCs/>
        </w:rPr>
        <w:t>Something we have always maintained</w:t>
      </w:r>
      <w:r>
        <w:rPr>
          <w:b/>
          <w:bCs/>
          <w:i/>
          <w:iCs/>
        </w:rPr>
        <w:t xml:space="preserve"> </w:t>
      </w:r>
      <w:r>
        <w:t>[emphasis added]</w:t>
      </w:r>
    </w:p>
    <w:p w14:paraId="3AECB0D7" w14:textId="77777777" w:rsidR="0069104A" w:rsidRPr="00A22388" w:rsidRDefault="0069104A" w:rsidP="00A22388">
      <w:pPr>
        <w:pStyle w:val="ListParagraph"/>
        <w:jc w:val="both"/>
      </w:pPr>
    </w:p>
    <w:p w14:paraId="55EE7358" w14:textId="524FDE02" w:rsidR="00A22388" w:rsidRDefault="00A22388" w:rsidP="00A22388">
      <w:pPr>
        <w:pStyle w:val="ListParagraph"/>
        <w:ind w:left="0"/>
        <w:jc w:val="both"/>
      </w:pPr>
      <w:r>
        <w:t xml:space="preserve">There is </w:t>
      </w:r>
      <w:r w:rsidRPr="003942CD">
        <w:rPr>
          <w:b/>
          <w:bCs/>
          <w:u w:val="single"/>
        </w:rPr>
        <w:t xml:space="preserve">nothing </w:t>
      </w:r>
      <w:r>
        <w:t>in the Guidance to support th</w:t>
      </w:r>
      <w:r w:rsidR="0005290D">
        <w:t xml:space="preserve">is </w:t>
      </w:r>
      <w:r>
        <w:t xml:space="preserve"> claim</w:t>
      </w:r>
      <w:r w:rsidR="000271F3">
        <w:t>.</w:t>
      </w:r>
    </w:p>
    <w:p w14:paraId="37CBCF63" w14:textId="77777777" w:rsidR="00A22388" w:rsidRDefault="00A22388" w:rsidP="00A22388">
      <w:pPr>
        <w:pStyle w:val="ListParagraph"/>
        <w:ind w:left="0"/>
        <w:jc w:val="both"/>
      </w:pPr>
    </w:p>
    <w:p w14:paraId="20DFC955" w14:textId="3C30B76D" w:rsidR="00A22388" w:rsidRDefault="00A22388" w:rsidP="00A22388">
      <w:pPr>
        <w:pStyle w:val="ListParagraph"/>
        <w:ind w:left="0"/>
        <w:jc w:val="both"/>
      </w:pPr>
      <w:r>
        <w:t xml:space="preserve">The Guidance (43 pages) never refers to “social transitioning”. The Guidance is trans activist in tone and content. The understandable inference is that the </w:t>
      </w:r>
      <w:r w:rsidR="002C1A2F">
        <w:t xml:space="preserve">Church </w:t>
      </w:r>
      <w:r>
        <w:t>is committed to affirming children in whatever “gender identity” they claim</w:t>
      </w:r>
      <w:r w:rsidR="00B05609">
        <w:t xml:space="preserve">. </w:t>
      </w:r>
      <w:r w:rsidR="000271F3">
        <w:t xml:space="preserve">(See Appendix 2 . The An </w:t>
      </w:r>
      <w:proofErr w:type="spellStart"/>
      <w:r w:rsidR="000271F3">
        <w:t>Daras</w:t>
      </w:r>
      <w:proofErr w:type="spellEnd"/>
      <w:r w:rsidR="000271F3">
        <w:t xml:space="preserve"> MAT allows the social transitioning of primary school children without their parent’s knowledge)</w:t>
      </w:r>
    </w:p>
    <w:p w14:paraId="443B767B" w14:textId="77777777" w:rsidR="00C40CAC" w:rsidRDefault="00C40CAC" w:rsidP="00A22388">
      <w:pPr>
        <w:pStyle w:val="ListParagraph"/>
        <w:ind w:left="0"/>
        <w:jc w:val="both"/>
      </w:pPr>
    </w:p>
    <w:p w14:paraId="383D13CB" w14:textId="5812A6A6" w:rsidR="00C40CAC" w:rsidRDefault="00C40CAC" w:rsidP="00A22388">
      <w:pPr>
        <w:pStyle w:val="ListParagraph"/>
        <w:ind w:left="0"/>
        <w:jc w:val="both"/>
      </w:pPr>
      <w:r>
        <w:t xml:space="preserve">The truth is that the </w:t>
      </w:r>
      <w:r w:rsidR="002C1A2F">
        <w:t xml:space="preserve">Church </w:t>
      </w:r>
      <w:r>
        <w:t xml:space="preserve">was so taken by a trans activist ideology and possessed by such righteousness that it gave no critical thought to these doctrines or their consequences. </w:t>
      </w:r>
    </w:p>
    <w:p w14:paraId="625311B0" w14:textId="77777777" w:rsidR="0005290D" w:rsidRDefault="0005290D" w:rsidP="00A22388">
      <w:pPr>
        <w:pStyle w:val="ListParagraph"/>
        <w:ind w:left="0"/>
        <w:jc w:val="both"/>
      </w:pPr>
    </w:p>
    <w:p w14:paraId="052ED042" w14:textId="315B6397" w:rsidR="0005290D" w:rsidRDefault="0005290D" w:rsidP="00A22388">
      <w:pPr>
        <w:pStyle w:val="ListParagraph"/>
        <w:ind w:left="0"/>
        <w:jc w:val="both"/>
      </w:pPr>
      <w:r>
        <w:t>The response is a disingenuous attempt to escape responsibility</w:t>
      </w:r>
      <w:r w:rsidR="003942CD">
        <w:t>.</w:t>
      </w:r>
      <w:r>
        <w:t xml:space="preserve"> </w:t>
      </w:r>
    </w:p>
    <w:p w14:paraId="2148D161" w14:textId="77777777" w:rsidR="00C2260A" w:rsidRDefault="00C2260A" w:rsidP="00A22388">
      <w:pPr>
        <w:pStyle w:val="ListParagraph"/>
        <w:ind w:left="0"/>
        <w:jc w:val="both"/>
      </w:pPr>
    </w:p>
    <w:p w14:paraId="54624CA6" w14:textId="6A85EC97" w:rsidR="00C2260A" w:rsidRDefault="00611BBC" w:rsidP="00A22388">
      <w:pPr>
        <w:pStyle w:val="ListParagraph"/>
        <w:ind w:left="0"/>
        <w:jc w:val="both"/>
      </w:pPr>
      <w:r>
        <w:t xml:space="preserve">Previous criticism of </w:t>
      </w:r>
      <w:r w:rsidR="00C2260A">
        <w:t xml:space="preserve">Guidance </w:t>
      </w:r>
      <w:r w:rsidR="00530A94">
        <w:t xml:space="preserve">together with a petition calling for its rescission was responded to by the Church in October 2022 </w:t>
      </w:r>
      <w:r w:rsidR="006529D1">
        <w:t>–</w:t>
      </w:r>
      <w:r w:rsidR="00530A94">
        <w:t>p</w:t>
      </w:r>
      <w:r w:rsidR="006529D1">
        <w:t xml:space="preserve">lease see </w:t>
      </w:r>
      <w:hyperlink r:id="rId20" w:history="1">
        <w:r w:rsidR="00530A94" w:rsidRPr="00530A94">
          <w:rPr>
            <w:rStyle w:val="Hyperlink"/>
          </w:rPr>
          <w:t>Appendix 4</w:t>
        </w:r>
      </w:hyperlink>
    </w:p>
    <w:p w14:paraId="4D0C175C" w14:textId="77777777" w:rsidR="00C2260A" w:rsidRDefault="00C2260A" w:rsidP="00A22388">
      <w:pPr>
        <w:pStyle w:val="ListParagraph"/>
        <w:ind w:left="0"/>
        <w:jc w:val="both"/>
      </w:pPr>
    </w:p>
    <w:p w14:paraId="7B02126F" w14:textId="77777777" w:rsidR="00C2260A" w:rsidRDefault="00C2260A" w:rsidP="00A22388">
      <w:pPr>
        <w:pStyle w:val="ListParagraph"/>
        <w:ind w:left="0"/>
        <w:jc w:val="both"/>
      </w:pPr>
    </w:p>
    <w:p w14:paraId="1A2D14B0" w14:textId="77777777" w:rsidR="008D2CD2" w:rsidRDefault="008D2CD2" w:rsidP="009C569C">
      <w:pPr>
        <w:pStyle w:val="ListParagraph"/>
        <w:ind w:left="0"/>
        <w:jc w:val="both"/>
      </w:pPr>
    </w:p>
    <w:p w14:paraId="0D064896" w14:textId="6F4147E4" w:rsidR="0069104A" w:rsidRDefault="0069104A" w:rsidP="00FD18ED">
      <w:pPr>
        <w:pStyle w:val="ListParagraph"/>
        <w:ind w:left="0"/>
        <w:jc w:val="center"/>
        <w:rPr>
          <w:b/>
          <w:bCs/>
        </w:rPr>
      </w:pPr>
      <w:r>
        <w:rPr>
          <w:b/>
          <w:bCs/>
        </w:rPr>
        <w:t>What does the Church of England believe</w:t>
      </w:r>
    </w:p>
    <w:p w14:paraId="00750020" w14:textId="77777777" w:rsidR="0069104A" w:rsidRDefault="0069104A" w:rsidP="009C569C">
      <w:pPr>
        <w:pStyle w:val="ListParagraph"/>
        <w:ind w:left="0"/>
        <w:jc w:val="both"/>
        <w:rPr>
          <w:b/>
          <w:bCs/>
        </w:rPr>
      </w:pPr>
    </w:p>
    <w:p w14:paraId="4E7F516B" w14:textId="1A086D93" w:rsidR="008D2CD2" w:rsidRDefault="0069104A" w:rsidP="009C569C">
      <w:pPr>
        <w:pStyle w:val="ListParagraph"/>
        <w:ind w:left="0"/>
        <w:jc w:val="both"/>
      </w:pPr>
      <w:r>
        <w:t>The Guidance is a trans activist document and has encouraged schools across the country to  adopt a trans activist position</w:t>
      </w:r>
      <w:r w:rsidR="003942CD">
        <w:t>.</w:t>
      </w:r>
    </w:p>
    <w:p w14:paraId="43F9839C" w14:textId="77777777" w:rsidR="0069104A" w:rsidRDefault="0069104A" w:rsidP="009C569C">
      <w:pPr>
        <w:pStyle w:val="ListParagraph"/>
        <w:ind w:left="0"/>
        <w:jc w:val="both"/>
      </w:pPr>
    </w:p>
    <w:p w14:paraId="2B13EE49" w14:textId="51597853" w:rsidR="0069104A" w:rsidRDefault="0069104A" w:rsidP="009C569C">
      <w:pPr>
        <w:pStyle w:val="ListParagraph"/>
        <w:ind w:left="0"/>
        <w:jc w:val="both"/>
      </w:pPr>
      <w:r>
        <w:t xml:space="preserve">Appendix 3 sets out </w:t>
      </w:r>
      <w:r w:rsidR="003942CD">
        <w:t xml:space="preserve">some of the </w:t>
      </w:r>
      <w:r>
        <w:t>implications and reasonable inferences of the Guidance</w:t>
      </w:r>
      <w:r w:rsidR="003942CD">
        <w:t>.</w:t>
      </w:r>
      <w:r>
        <w:t xml:space="preserve"> </w:t>
      </w:r>
    </w:p>
    <w:p w14:paraId="649E07D1" w14:textId="77777777" w:rsidR="0069104A" w:rsidRDefault="0069104A" w:rsidP="009C569C">
      <w:pPr>
        <w:pStyle w:val="ListParagraph"/>
        <w:ind w:left="0"/>
        <w:jc w:val="both"/>
      </w:pPr>
    </w:p>
    <w:p w14:paraId="71C715F8" w14:textId="1C5AFDA3" w:rsidR="0069104A" w:rsidRDefault="0069104A" w:rsidP="009C569C">
      <w:pPr>
        <w:pStyle w:val="ListParagraph"/>
        <w:ind w:left="0"/>
        <w:jc w:val="both"/>
      </w:pPr>
      <w:r>
        <w:t xml:space="preserve">It is incumbent upon the Church of England to clarify what it does believe. </w:t>
      </w:r>
      <w:r w:rsidR="002542A7">
        <w:t xml:space="preserve">A school could </w:t>
      </w:r>
      <w:r w:rsidR="00F62B6A">
        <w:t>reasonably</w:t>
      </w:r>
      <w:r w:rsidR="002542A7">
        <w:t xml:space="preserve"> believe that the implications/inferences set out in the Appendix are commitments of the Church and therefore should be taught as truth</w:t>
      </w:r>
      <w:r w:rsidR="0005290D">
        <w:t xml:space="preserve">. </w:t>
      </w:r>
    </w:p>
    <w:p w14:paraId="7D226AF5" w14:textId="77777777" w:rsidR="002542A7" w:rsidRDefault="002542A7" w:rsidP="009C569C">
      <w:pPr>
        <w:pStyle w:val="ListParagraph"/>
        <w:ind w:left="0"/>
        <w:jc w:val="both"/>
      </w:pPr>
    </w:p>
    <w:p w14:paraId="1A9B632E" w14:textId="7069DA59" w:rsidR="002542A7" w:rsidRDefault="002542A7" w:rsidP="009C569C">
      <w:pPr>
        <w:pStyle w:val="ListParagraph"/>
        <w:ind w:left="0"/>
        <w:jc w:val="both"/>
      </w:pPr>
      <w:r>
        <w:t>It would be reasonable for a member of staff to fear that disagreeing with any of implications/inferences would result in disciplinary sanction (and note the references (13) above</w:t>
      </w:r>
      <w:r w:rsidR="0005290D">
        <w:t>)</w:t>
      </w:r>
      <w:r w:rsidR="003942CD">
        <w:t>.</w:t>
      </w:r>
    </w:p>
    <w:p w14:paraId="7BF196AC" w14:textId="77777777" w:rsidR="006529D1" w:rsidRDefault="006529D1" w:rsidP="009C569C">
      <w:pPr>
        <w:pStyle w:val="ListParagraph"/>
        <w:ind w:left="0"/>
        <w:jc w:val="both"/>
      </w:pPr>
    </w:p>
    <w:p w14:paraId="4DF73DBD" w14:textId="27EA6C23" w:rsidR="006529D1" w:rsidRDefault="006529D1" w:rsidP="009C569C">
      <w:pPr>
        <w:pStyle w:val="ListParagraph"/>
        <w:ind w:left="0"/>
        <w:jc w:val="both"/>
      </w:pPr>
      <w:r>
        <w:t>The understanding of the law in the Guidance is flawed. We respectfully suggest that instead of relying upon Stonewall o</w:t>
      </w:r>
      <w:r w:rsidR="00115CFB">
        <w:t xml:space="preserve">r the Intercom Trust </w:t>
      </w:r>
      <w:r w:rsidR="0005290D">
        <w:t xml:space="preserve">that the Church </w:t>
      </w:r>
      <w:r w:rsidR="00115CFB">
        <w:t xml:space="preserve"> make use of experts and not trans activists</w:t>
      </w:r>
      <w:r w:rsidR="003942CD">
        <w:t>.</w:t>
      </w:r>
    </w:p>
    <w:p w14:paraId="3E70D340" w14:textId="77777777" w:rsidR="00115CFB" w:rsidRDefault="00115CFB" w:rsidP="009C569C">
      <w:pPr>
        <w:pStyle w:val="ListParagraph"/>
        <w:ind w:left="0"/>
        <w:jc w:val="both"/>
      </w:pPr>
    </w:p>
    <w:p w14:paraId="03B39A8D" w14:textId="27B208AB" w:rsidR="00115CFB" w:rsidRDefault="00115CFB" w:rsidP="009C569C">
      <w:pPr>
        <w:pStyle w:val="ListParagraph"/>
        <w:ind w:left="0"/>
        <w:jc w:val="both"/>
      </w:pPr>
      <w:r>
        <w:t xml:space="preserve">We attach </w:t>
      </w:r>
      <w:r w:rsidR="00F40285">
        <w:t xml:space="preserve">at Appendix 5 </w:t>
      </w:r>
      <w:r>
        <w:t xml:space="preserve">the advice of </w:t>
      </w:r>
      <w:hyperlink r:id="rId21" w:history="1">
        <w:r w:rsidRPr="00115CFB">
          <w:rPr>
            <w:rStyle w:val="Hyperlink"/>
          </w:rPr>
          <w:t>Karon Monaghan KC</w:t>
        </w:r>
      </w:hyperlink>
      <w:r w:rsidR="00F40285">
        <w:rPr>
          <w:rStyle w:val="Hyperlink"/>
        </w:rPr>
        <w:t xml:space="preserve"> </w:t>
      </w:r>
      <w:r>
        <w:t xml:space="preserve"> respect of the Brighton and Hove Toolkit </w:t>
      </w:r>
      <w:r w:rsidR="00F40285">
        <w:t>.</w:t>
      </w:r>
    </w:p>
    <w:p w14:paraId="71060744" w14:textId="77777777" w:rsidR="002542A7" w:rsidRDefault="002542A7" w:rsidP="009C569C">
      <w:pPr>
        <w:pStyle w:val="ListParagraph"/>
        <w:ind w:left="0"/>
        <w:jc w:val="both"/>
      </w:pPr>
    </w:p>
    <w:p w14:paraId="4D018C45" w14:textId="77777777" w:rsidR="002542A7" w:rsidRPr="0069104A" w:rsidRDefault="002542A7" w:rsidP="00FD18ED">
      <w:pPr>
        <w:pStyle w:val="ListParagraph"/>
        <w:ind w:left="0"/>
        <w:jc w:val="center"/>
      </w:pPr>
    </w:p>
    <w:p w14:paraId="05635988" w14:textId="77777777" w:rsidR="00507FA1" w:rsidRDefault="00C40CAC" w:rsidP="00FD18ED">
      <w:pPr>
        <w:jc w:val="center"/>
        <w:rPr>
          <w:b/>
          <w:bCs/>
        </w:rPr>
      </w:pPr>
      <w:r w:rsidRPr="00C40CAC">
        <w:rPr>
          <w:b/>
          <w:bCs/>
        </w:rPr>
        <w:t>The responsibility of the Church of England</w:t>
      </w:r>
    </w:p>
    <w:p w14:paraId="4F6E59D9" w14:textId="77777777" w:rsidR="00C40CAC" w:rsidRDefault="00C40CAC" w:rsidP="00C40982">
      <w:pPr>
        <w:jc w:val="both"/>
        <w:rPr>
          <w:b/>
          <w:bCs/>
        </w:rPr>
      </w:pPr>
    </w:p>
    <w:p w14:paraId="5779B073" w14:textId="1CBF20E2" w:rsidR="00C40CAC" w:rsidRDefault="00C40CAC" w:rsidP="00C40982">
      <w:pPr>
        <w:jc w:val="both"/>
      </w:pPr>
      <w:r>
        <w:t xml:space="preserve">The Church of England has been active in promoting trans activist ideology in schools The Church bears direct responsibility for some of the increase in gender confusion, depression and mental health problems in the young and also for unnecessary and harmful medical intervention including castration and </w:t>
      </w:r>
      <w:r w:rsidR="008D2CD2">
        <w:t>mastectomies</w:t>
      </w:r>
      <w:r w:rsidR="003942CD">
        <w:t>.</w:t>
      </w:r>
    </w:p>
    <w:p w14:paraId="29A6ED91" w14:textId="77777777" w:rsidR="006A2E14" w:rsidRDefault="006A2E14" w:rsidP="00C40982">
      <w:pPr>
        <w:jc w:val="both"/>
      </w:pPr>
    </w:p>
    <w:p w14:paraId="723B1601" w14:textId="7AC8FA76" w:rsidR="006A2E14" w:rsidRDefault="00000000" w:rsidP="00C40982">
      <w:pPr>
        <w:jc w:val="both"/>
      </w:pPr>
      <w:hyperlink r:id="rId22" w:history="1">
        <w:r w:rsidR="006A2E14" w:rsidRPr="006A2E14">
          <w:rPr>
            <w:rStyle w:val="Hyperlink"/>
          </w:rPr>
          <w:t>David Bell</w:t>
        </w:r>
      </w:hyperlink>
      <w:r w:rsidR="006A2E14">
        <w:t xml:space="preserve"> at the end of his Guardian article states:</w:t>
      </w:r>
    </w:p>
    <w:p w14:paraId="691EB989" w14:textId="77777777" w:rsidR="006A2E14" w:rsidRDefault="006A2E14" w:rsidP="00C40982">
      <w:pPr>
        <w:jc w:val="both"/>
      </w:pPr>
    </w:p>
    <w:p w14:paraId="6A428A6D" w14:textId="2D519ED3" w:rsidR="006A2E14" w:rsidRPr="004041B9" w:rsidRDefault="006A2E14" w:rsidP="004041B9">
      <w:pPr>
        <w:ind w:left="720"/>
        <w:jc w:val="both"/>
        <w:rPr>
          <w:i/>
          <w:iCs/>
        </w:rPr>
      </w:pPr>
      <w:r>
        <w:rPr>
          <w:i/>
          <w:iCs/>
        </w:rPr>
        <w:t>“</w:t>
      </w:r>
      <w:r w:rsidRPr="004041B9">
        <w:rPr>
          <w:i/>
          <w:iCs/>
        </w:rPr>
        <w:t>In years to come we will look back at the damage done to children with incredulity and horror.</w:t>
      </w:r>
      <w:r>
        <w:rPr>
          <w:i/>
          <w:iCs/>
        </w:rPr>
        <w:t>”</w:t>
      </w:r>
    </w:p>
    <w:p w14:paraId="727304B7" w14:textId="77777777" w:rsidR="00C40CAC" w:rsidRDefault="00C40CAC" w:rsidP="00C40982">
      <w:pPr>
        <w:jc w:val="both"/>
      </w:pPr>
    </w:p>
    <w:p w14:paraId="4188D19F" w14:textId="6B5D316D" w:rsidR="00C40CAC" w:rsidRDefault="00C40CAC" w:rsidP="00C40982">
      <w:pPr>
        <w:jc w:val="both"/>
      </w:pPr>
      <w:r>
        <w:t xml:space="preserve">This should be a matter of shame for the Church and  all involved </w:t>
      </w:r>
      <w:r w:rsidR="003942CD">
        <w:t>.</w:t>
      </w:r>
    </w:p>
    <w:p w14:paraId="5AB45E43" w14:textId="77777777" w:rsidR="00855506" w:rsidRDefault="00507FA1" w:rsidP="00C40982">
      <w:pPr>
        <w:jc w:val="both"/>
      </w:pPr>
      <w:r>
        <w:t xml:space="preserve">     </w:t>
      </w:r>
    </w:p>
    <w:p w14:paraId="54910D66" w14:textId="77777777" w:rsidR="00855506" w:rsidRDefault="00855506" w:rsidP="00FD18ED">
      <w:pPr>
        <w:jc w:val="center"/>
        <w:rPr>
          <w:b/>
          <w:bCs/>
        </w:rPr>
      </w:pPr>
      <w:r>
        <w:rPr>
          <w:b/>
          <w:bCs/>
        </w:rPr>
        <w:t>Conclusion</w:t>
      </w:r>
    </w:p>
    <w:p w14:paraId="5BBBF2D2" w14:textId="77777777" w:rsidR="00855506" w:rsidRDefault="00855506" w:rsidP="00C40982">
      <w:pPr>
        <w:jc w:val="both"/>
        <w:rPr>
          <w:b/>
          <w:bCs/>
        </w:rPr>
      </w:pPr>
    </w:p>
    <w:p w14:paraId="66B1D737" w14:textId="77777777" w:rsidR="007130C5" w:rsidRDefault="00C40CAC" w:rsidP="00C40982">
      <w:pPr>
        <w:jc w:val="both"/>
      </w:pPr>
      <w:r>
        <w:t xml:space="preserve">The </w:t>
      </w:r>
      <w:r w:rsidR="007130C5">
        <w:t xml:space="preserve">Cass  Review </w:t>
      </w:r>
      <w:r>
        <w:t xml:space="preserve">must </w:t>
      </w:r>
      <w:r w:rsidR="007130C5">
        <w:t xml:space="preserve"> act as a catalyst for </w:t>
      </w:r>
      <w:r>
        <w:t>an urgent review</w:t>
      </w:r>
      <w:r w:rsidR="007130C5">
        <w:t xml:space="preserve"> </w:t>
      </w:r>
    </w:p>
    <w:p w14:paraId="4F9A4D1E" w14:textId="77777777" w:rsidR="00B952EB" w:rsidRDefault="00B952EB" w:rsidP="00C40982">
      <w:pPr>
        <w:jc w:val="both"/>
      </w:pPr>
    </w:p>
    <w:p w14:paraId="6D8D6691" w14:textId="77777777" w:rsidR="00B952EB" w:rsidRDefault="00B952EB" w:rsidP="00B952EB">
      <w:pPr>
        <w:jc w:val="both"/>
      </w:pPr>
      <w:r>
        <w:t>We, request that</w:t>
      </w:r>
    </w:p>
    <w:p w14:paraId="64A4AD61" w14:textId="77777777" w:rsidR="00B952EB" w:rsidRDefault="00B952EB" w:rsidP="00B952EB">
      <w:pPr>
        <w:jc w:val="both"/>
      </w:pPr>
    </w:p>
    <w:p w14:paraId="1C9C40E0" w14:textId="416F87EC" w:rsidR="00B952EB" w:rsidRDefault="00B952EB" w:rsidP="00B952EB">
      <w:pPr>
        <w:pStyle w:val="ListParagraph"/>
        <w:numPr>
          <w:ilvl w:val="0"/>
          <w:numId w:val="5"/>
        </w:numPr>
        <w:jc w:val="both"/>
      </w:pPr>
      <w:r>
        <w:t>The Guidance is withdrawn with immediate effect</w:t>
      </w:r>
      <w:r w:rsidR="00FD18ED">
        <w:t>;</w:t>
      </w:r>
    </w:p>
    <w:p w14:paraId="317194A9" w14:textId="77777777" w:rsidR="00B952EB" w:rsidRDefault="00B952EB" w:rsidP="00B952EB">
      <w:pPr>
        <w:pStyle w:val="ListParagraph"/>
        <w:jc w:val="both"/>
      </w:pPr>
    </w:p>
    <w:p w14:paraId="6D60F594" w14:textId="767B9A33" w:rsidR="00B952EB" w:rsidRDefault="00B952EB" w:rsidP="00B952EB">
      <w:pPr>
        <w:pStyle w:val="ListParagraph"/>
        <w:numPr>
          <w:ilvl w:val="0"/>
          <w:numId w:val="5"/>
        </w:numPr>
        <w:jc w:val="both"/>
      </w:pPr>
      <w:r>
        <w:t>This withdrawal is publicised with a clear explanation of the grounds of withdrawal</w:t>
      </w:r>
      <w:r w:rsidR="00FD18ED">
        <w:t xml:space="preserve"> and</w:t>
      </w:r>
    </w:p>
    <w:p w14:paraId="3BBA14F8" w14:textId="77777777" w:rsidR="00B952EB" w:rsidRDefault="00B952EB" w:rsidP="00B952EB">
      <w:pPr>
        <w:jc w:val="both"/>
      </w:pPr>
    </w:p>
    <w:p w14:paraId="6CC33EA4" w14:textId="77777777" w:rsidR="00B952EB" w:rsidRDefault="00B952EB" w:rsidP="00B952EB">
      <w:pPr>
        <w:pStyle w:val="ListParagraph"/>
        <w:numPr>
          <w:ilvl w:val="0"/>
          <w:numId w:val="5"/>
        </w:numPr>
        <w:jc w:val="both"/>
      </w:pPr>
      <w:r>
        <w:t>All CoE schools are informed of the withdrawal and asked to review or withdraw any Equality Policy or similar</w:t>
      </w:r>
    </w:p>
    <w:p w14:paraId="1946FD89" w14:textId="77777777" w:rsidR="00B952EB" w:rsidRDefault="00B952EB" w:rsidP="00B952EB">
      <w:pPr>
        <w:jc w:val="both"/>
      </w:pPr>
      <w:r>
        <w:t xml:space="preserve"> </w:t>
      </w:r>
    </w:p>
    <w:p w14:paraId="2A780B4E" w14:textId="10AB7699" w:rsidR="00B952EB" w:rsidRDefault="00B952EB" w:rsidP="00B952EB">
      <w:pPr>
        <w:jc w:val="both"/>
      </w:pPr>
      <w:r>
        <w:t xml:space="preserve"> We request details as to when we can expect a substantive reply. </w:t>
      </w:r>
    </w:p>
    <w:p w14:paraId="5A567C70" w14:textId="77777777" w:rsidR="00B952EB" w:rsidRDefault="00B952EB" w:rsidP="00B952EB">
      <w:pPr>
        <w:jc w:val="both"/>
      </w:pPr>
    </w:p>
    <w:p w14:paraId="42F0AB01" w14:textId="77777777" w:rsidR="00B952EB" w:rsidRDefault="00B952EB" w:rsidP="00B952EB">
      <w:pPr>
        <w:jc w:val="both"/>
      </w:pPr>
    </w:p>
    <w:p w14:paraId="25DD28CC" w14:textId="77777777" w:rsidR="00B952EB" w:rsidRDefault="00B952EB" w:rsidP="00B952EB">
      <w:pPr>
        <w:jc w:val="both"/>
      </w:pPr>
      <w:r>
        <w:t xml:space="preserve">Thank you </w:t>
      </w:r>
    </w:p>
    <w:p w14:paraId="3072CF03" w14:textId="77777777" w:rsidR="00B952EB" w:rsidRDefault="00B952EB" w:rsidP="00B952EB">
      <w:pPr>
        <w:jc w:val="both"/>
      </w:pPr>
    </w:p>
    <w:p w14:paraId="3F7C62B5" w14:textId="77777777" w:rsidR="00B952EB" w:rsidRDefault="00B952EB" w:rsidP="00B952EB">
      <w:pPr>
        <w:jc w:val="both"/>
      </w:pPr>
      <w:r>
        <w:t xml:space="preserve">Protect and Teach </w:t>
      </w:r>
    </w:p>
    <w:p w14:paraId="21E39192" w14:textId="77777777" w:rsidR="00B952EB" w:rsidRDefault="00B952EB" w:rsidP="00C40982">
      <w:pPr>
        <w:jc w:val="both"/>
      </w:pPr>
    </w:p>
    <w:p w14:paraId="32546362" w14:textId="77777777" w:rsidR="007130C5" w:rsidRDefault="007130C5" w:rsidP="00C40982">
      <w:pPr>
        <w:jc w:val="both"/>
      </w:pPr>
    </w:p>
    <w:p w14:paraId="38296818" w14:textId="2E867C94" w:rsidR="007130C5" w:rsidRDefault="007130C5" w:rsidP="00C40982">
      <w:pPr>
        <w:jc w:val="both"/>
      </w:pPr>
    </w:p>
    <w:p w14:paraId="096A5F81" w14:textId="77777777" w:rsidR="002542A7" w:rsidRDefault="002542A7" w:rsidP="00C40982">
      <w:pPr>
        <w:jc w:val="both"/>
      </w:pPr>
    </w:p>
    <w:p w14:paraId="06A2629D" w14:textId="77777777" w:rsidR="002542A7" w:rsidRPr="007130C5" w:rsidRDefault="002542A7" w:rsidP="00C40982">
      <w:pPr>
        <w:jc w:val="both"/>
      </w:pPr>
    </w:p>
    <w:p w14:paraId="278B3ED5" w14:textId="77777777" w:rsidR="00C56740" w:rsidRDefault="00C56740" w:rsidP="00C40982">
      <w:pPr>
        <w:jc w:val="both"/>
      </w:pPr>
    </w:p>
    <w:p w14:paraId="23F62A40" w14:textId="77777777" w:rsidR="00C56740" w:rsidRDefault="00C56740" w:rsidP="00C40982">
      <w:pPr>
        <w:jc w:val="both"/>
      </w:pPr>
    </w:p>
    <w:p w14:paraId="35BFADEC" w14:textId="77777777" w:rsidR="00C56740" w:rsidRDefault="00C56740" w:rsidP="00C40982">
      <w:pPr>
        <w:jc w:val="both"/>
      </w:pPr>
    </w:p>
    <w:p w14:paraId="157FF3F4" w14:textId="77777777" w:rsidR="00C56740" w:rsidRDefault="00C56740" w:rsidP="00C40982">
      <w:pPr>
        <w:jc w:val="both"/>
      </w:pPr>
    </w:p>
    <w:p w14:paraId="68BE9A79" w14:textId="77777777" w:rsidR="00C56740" w:rsidRDefault="00C56740" w:rsidP="00C40982">
      <w:pPr>
        <w:jc w:val="both"/>
      </w:pPr>
    </w:p>
    <w:p w14:paraId="7339150E" w14:textId="77777777" w:rsidR="00C56740" w:rsidRPr="003D1A1F" w:rsidRDefault="00C56740" w:rsidP="00C40982">
      <w:pPr>
        <w:jc w:val="both"/>
      </w:pPr>
    </w:p>
    <w:sectPr w:rsidR="00C56740" w:rsidRPr="003D1A1F">
      <w:footerReference w:type="even" r:id="rId23"/>
      <w:footerReference w:type="defaul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45C9BF" w14:textId="77777777" w:rsidR="00F63AB9" w:rsidRDefault="00F63AB9" w:rsidP="00FD18ED">
      <w:r>
        <w:separator/>
      </w:r>
    </w:p>
  </w:endnote>
  <w:endnote w:type="continuationSeparator" w:id="0">
    <w:p w14:paraId="7F5DB379" w14:textId="77777777" w:rsidR="00F63AB9" w:rsidRDefault="00F63AB9" w:rsidP="00FD1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89219639"/>
      <w:docPartObj>
        <w:docPartGallery w:val="Page Numbers (Bottom of Page)"/>
        <w:docPartUnique/>
      </w:docPartObj>
    </w:sdtPr>
    <w:sdtContent>
      <w:p w14:paraId="33157AE0" w14:textId="5C04D5AD" w:rsidR="00FD18ED" w:rsidRDefault="00FD18ED" w:rsidP="0014508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8D01DD7" w14:textId="77777777" w:rsidR="00FD18ED" w:rsidRDefault="00FD18ED" w:rsidP="00FD18E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01284874"/>
      <w:docPartObj>
        <w:docPartGallery w:val="Page Numbers (Bottom of Page)"/>
        <w:docPartUnique/>
      </w:docPartObj>
    </w:sdtPr>
    <w:sdtContent>
      <w:p w14:paraId="2FDD3BAA" w14:textId="0600E26D" w:rsidR="00FD18ED" w:rsidRDefault="00FD18ED" w:rsidP="0014508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B31C848" w14:textId="77777777" w:rsidR="00FD18ED" w:rsidRDefault="00FD18ED" w:rsidP="00FD18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7F0279" w14:textId="77777777" w:rsidR="00F63AB9" w:rsidRDefault="00F63AB9" w:rsidP="00FD18ED">
      <w:r>
        <w:separator/>
      </w:r>
    </w:p>
  </w:footnote>
  <w:footnote w:type="continuationSeparator" w:id="0">
    <w:p w14:paraId="434922A8" w14:textId="77777777" w:rsidR="00F63AB9" w:rsidRDefault="00F63AB9" w:rsidP="00FD18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41830"/>
    <w:multiLevelType w:val="multilevel"/>
    <w:tmpl w:val="3410C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1E6BC2"/>
    <w:multiLevelType w:val="hybridMultilevel"/>
    <w:tmpl w:val="8DBCC7D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217843AF"/>
    <w:multiLevelType w:val="hybridMultilevel"/>
    <w:tmpl w:val="8F448E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AEE7F6F"/>
    <w:multiLevelType w:val="hybridMultilevel"/>
    <w:tmpl w:val="954C07EE"/>
    <w:lvl w:ilvl="0" w:tplc="65AE3BA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B962ABC"/>
    <w:multiLevelType w:val="hybridMultilevel"/>
    <w:tmpl w:val="564E871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4B0D78E4"/>
    <w:multiLevelType w:val="hybridMultilevel"/>
    <w:tmpl w:val="4686DD3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6F01474E"/>
    <w:multiLevelType w:val="hybridMultilevel"/>
    <w:tmpl w:val="A1BAF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4CB7004"/>
    <w:multiLevelType w:val="hybridMultilevel"/>
    <w:tmpl w:val="25904F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68F230C"/>
    <w:multiLevelType w:val="hybridMultilevel"/>
    <w:tmpl w:val="6570155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79FD381E"/>
    <w:multiLevelType w:val="hybridMultilevel"/>
    <w:tmpl w:val="81D0AB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AB24D48"/>
    <w:multiLevelType w:val="hybridMultilevel"/>
    <w:tmpl w:val="0C2A137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629943179">
    <w:abstractNumId w:val="2"/>
  </w:num>
  <w:num w:numId="2" w16cid:durableId="1127242223">
    <w:abstractNumId w:val="9"/>
  </w:num>
  <w:num w:numId="3" w16cid:durableId="148399733">
    <w:abstractNumId w:val="7"/>
  </w:num>
  <w:num w:numId="4" w16cid:durableId="1754155812">
    <w:abstractNumId w:val="6"/>
  </w:num>
  <w:num w:numId="5" w16cid:durableId="1628469353">
    <w:abstractNumId w:val="3"/>
  </w:num>
  <w:num w:numId="6" w16cid:durableId="1031606984">
    <w:abstractNumId w:val="4"/>
  </w:num>
  <w:num w:numId="7" w16cid:durableId="491918062">
    <w:abstractNumId w:val="10"/>
  </w:num>
  <w:num w:numId="8" w16cid:durableId="1357385314">
    <w:abstractNumId w:val="8"/>
  </w:num>
  <w:num w:numId="9" w16cid:durableId="1196772724">
    <w:abstractNumId w:val="0"/>
  </w:num>
  <w:num w:numId="10" w16cid:durableId="678851115">
    <w:abstractNumId w:val="1"/>
  </w:num>
  <w:num w:numId="11" w16cid:durableId="18968197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531"/>
    <w:rsid w:val="000061D6"/>
    <w:rsid w:val="000271F3"/>
    <w:rsid w:val="0003081A"/>
    <w:rsid w:val="000369EE"/>
    <w:rsid w:val="0005290D"/>
    <w:rsid w:val="000B29B2"/>
    <w:rsid w:val="00115CFB"/>
    <w:rsid w:val="00122A62"/>
    <w:rsid w:val="001A0C2A"/>
    <w:rsid w:val="002542A7"/>
    <w:rsid w:val="002C1A2F"/>
    <w:rsid w:val="0038444C"/>
    <w:rsid w:val="003942CD"/>
    <w:rsid w:val="003D1A1F"/>
    <w:rsid w:val="003E055E"/>
    <w:rsid w:val="003E0CD1"/>
    <w:rsid w:val="003E6477"/>
    <w:rsid w:val="004030E3"/>
    <w:rsid w:val="004041B9"/>
    <w:rsid w:val="00431009"/>
    <w:rsid w:val="00487186"/>
    <w:rsid w:val="00490E09"/>
    <w:rsid w:val="004A5B69"/>
    <w:rsid w:val="00507FA1"/>
    <w:rsid w:val="00527D98"/>
    <w:rsid w:val="00530A94"/>
    <w:rsid w:val="00533FA0"/>
    <w:rsid w:val="0057385F"/>
    <w:rsid w:val="00584C00"/>
    <w:rsid w:val="005A13E3"/>
    <w:rsid w:val="005B49A7"/>
    <w:rsid w:val="0060105B"/>
    <w:rsid w:val="00611BBC"/>
    <w:rsid w:val="00615703"/>
    <w:rsid w:val="00632893"/>
    <w:rsid w:val="00640531"/>
    <w:rsid w:val="00640FAE"/>
    <w:rsid w:val="006529D1"/>
    <w:rsid w:val="00652E5E"/>
    <w:rsid w:val="0069104A"/>
    <w:rsid w:val="006A2E14"/>
    <w:rsid w:val="007130C5"/>
    <w:rsid w:val="0071371C"/>
    <w:rsid w:val="00735F17"/>
    <w:rsid w:val="007A2E3F"/>
    <w:rsid w:val="007B08B4"/>
    <w:rsid w:val="00832B90"/>
    <w:rsid w:val="00855506"/>
    <w:rsid w:val="008D2CD2"/>
    <w:rsid w:val="008D3802"/>
    <w:rsid w:val="00985E95"/>
    <w:rsid w:val="00996BEA"/>
    <w:rsid w:val="009A4810"/>
    <w:rsid w:val="009C569C"/>
    <w:rsid w:val="009E1265"/>
    <w:rsid w:val="009F3EEB"/>
    <w:rsid w:val="00A22388"/>
    <w:rsid w:val="00A378AF"/>
    <w:rsid w:val="00A70230"/>
    <w:rsid w:val="00A739DA"/>
    <w:rsid w:val="00A909AE"/>
    <w:rsid w:val="00AD1011"/>
    <w:rsid w:val="00AE3020"/>
    <w:rsid w:val="00B05609"/>
    <w:rsid w:val="00B320A0"/>
    <w:rsid w:val="00B3524F"/>
    <w:rsid w:val="00B952EB"/>
    <w:rsid w:val="00BD589A"/>
    <w:rsid w:val="00C2260A"/>
    <w:rsid w:val="00C40982"/>
    <w:rsid w:val="00C40CAC"/>
    <w:rsid w:val="00C56740"/>
    <w:rsid w:val="00CA66CD"/>
    <w:rsid w:val="00CA7141"/>
    <w:rsid w:val="00CB0CBF"/>
    <w:rsid w:val="00CC2081"/>
    <w:rsid w:val="00D16E99"/>
    <w:rsid w:val="00D77176"/>
    <w:rsid w:val="00D80EF2"/>
    <w:rsid w:val="00D96E54"/>
    <w:rsid w:val="00DA2A41"/>
    <w:rsid w:val="00E14101"/>
    <w:rsid w:val="00E14F69"/>
    <w:rsid w:val="00E63E17"/>
    <w:rsid w:val="00E74BE3"/>
    <w:rsid w:val="00E80C1E"/>
    <w:rsid w:val="00EB3D39"/>
    <w:rsid w:val="00F12D2A"/>
    <w:rsid w:val="00F16F3C"/>
    <w:rsid w:val="00F40285"/>
    <w:rsid w:val="00F62B6A"/>
    <w:rsid w:val="00F63AB9"/>
    <w:rsid w:val="00F80ED6"/>
    <w:rsid w:val="00FD18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E0F6986"/>
  <w15:chartTrackingRefBased/>
  <w15:docId w15:val="{7FBF10A7-DF4E-3547-A84D-B31A565BA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0531"/>
    <w:pPr>
      <w:ind w:left="720"/>
      <w:contextualSpacing/>
    </w:pPr>
  </w:style>
  <w:style w:type="paragraph" w:styleId="NormalWeb">
    <w:name w:val="Normal (Web)"/>
    <w:basedOn w:val="Normal"/>
    <w:uiPriority w:val="99"/>
    <w:semiHidden/>
    <w:unhideWhenUsed/>
    <w:rsid w:val="00640531"/>
    <w:rPr>
      <w:rFonts w:ascii="Times New Roman" w:hAnsi="Times New Roman" w:cs="Times New Roman"/>
      <w:sz w:val="24"/>
      <w:szCs w:val="24"/>
    </w:rPr>
  </w:style>
  <w:style w:type="character" w:styleId="Hyperlink">
    <w:name w:val="Hyperlink"/>
    <w:basedOn w:val="DefaultParagraphFont"/>
    <w:uiPriority w:val="99"/>
    <w:unhideWhenUsed/>
    <w:rsid w:val="00CB0CBF"/>
    <w:rPr>
      <w:color w:val="0000FF"/>
      <w:u w:val="single"/>
    </w:rPr>
  </w:style>
  <w:style w:type="character" w:styleId="UnresolvedMention">
    <w:name w:val="Unresolved Mention"/>
    <w:basedOn w:val="DefaultParagraphFont"/>
    <w:uiPriority w:val="99"/>
    <w:semiHidden/>
    <w:unhideWhenUsed/>
    <w:rsid w:val="00CA66CD"/>
    <w:rPr>
      <w:color w:val="605E5C"/>
      <w:shd w:val="clear" w:color="auto" w:fill="E1DFDD"/>
    </w:rPr>
  </w:style>
  <w:style w:type="paragraph" w:styleId="Revision">
    <w:name w:val="Revision"/>
    <w:hidden/>
    <w:uiPriority w:val="99"/>
    <w:semiHidden/>
    <w:rsid w:val="00F80ED6"/>
  </w:style>
  <w:style w:type="character" w:styleId="CommentReference">
    <w:name w:val="annotation reference"/>
    <w:basedOn w:val="DefaultParagraphFont"/>
    <w:uiPriority w:val="99"/>
    <w:semiHidden/>
    <w:unhideWhenUsed/>
    <w:rsid w:val="00584C00"/>
    <w:rPr>
      <w:sz w:val="16"/>
      <w:szCs w:val="16"/>
    </w:rPr>
  </w:style>
  <w:style w:type="paragraph" w:styleId="CommentText">
    <w:name w:val="annotation text"/>
    <w:basedOn w:val="Normal"/>
    <w:link w:val="CommentTextChar"/>
    <w:uiPriority w:val="99"/>
    <w:semiHidden/>
    <w:unhideWhenUsed/>
    <w:rsid w:val="00584C00"/>
    <w:rPr>
      <w:sz w:val="20"/>
      <w:szCs w:val="20"/>
    </w:rPr>
  </w:style>
  <w:style w:type="character" w:customStyle="1" w:styleId="CommentTextChar">
    <w:name w:val="Comment Text Char"/>
    <w:basedOn w:val="DefaultParagraphFont"/>
    <w:link w:val="CommentText"/>
    <w:uiPriority w:val="99"/>
    <w:semiHidden/>
    <w:rsid w:val="00584C00"/>
    <w:rPr>
      <w:sz w:val="20"/>
      <w:szCs w:val="20"/>
    </w:rPr>
  </w:style>
  <w:style w:type="paragraph" w:styleId="CommentSubject">
    <w:name w:val="annotation subject"/>
    <w:basedOn w:val="CommentText"/>
    <w:next w:val="CommentText"/>
    <w:link w:val="CommentSubjectChar"/>
    <w:uiPriority w:val="99"/>
    <w:semiHidden/>
    <w:unhideWhenUsed/>
    <w:rsid w:val="00584C00"/>
    <w:rPr>
      <w:b/>
      <w:bCs/>
    </w:rPr>
  </w:style>
  <w:style w:type="character" w:customStyle="1" w:styleId="CommentSubjectChar">
    <w:name w:val="Comment Subject Char"/>
    <w:basedOn w:val="CommentTextChar"/>
    <w:link w:val="CommentSubject"/>
    <w:uiPriority w:val="99"/>
    <w:semiHidden/>
    <w:rsid w:val="00584C00"/>
    <w:rPr>
      <w:b/>
      <w:bCs/>
      <w:sz w:val="20"/>
      <w:szCs w:val="20"/>
    </w:rPr>
  </w:style>
  <w:style w:type="paragraph" w:customStyle="1" w:styleId="CC-IndentText">
    <w:name w:val="CC-IndentText"/>
    <w:basedOn w:val="Normal"/>
    <w:qFormat/>
    <w:rsid w:val="001A0C2A"/>
    <w:pPr>
      <w:spacing w:after="160" w:line="254" w:lineRule="auto"/>
      <w:ind w:left="454" w:right="454"/>
    </w:pPr>
    <w:rPr>
      <w:i/>
      <w:iCs/>
      <w:color w:val="auto"/>
    </w:rPr>
  </w:style>
  <w:style w:type="character" w:styleId="FollowedHyperlink">
    <w:name w:val="FollowedHyperlink"/>
    <w:basedOn w:val="DefaultParagraphFont"/>
    <w:uiPriority w:val="99"/>
    <w:semiHidden/>
    <w:unhideWhenUsed/>
    <w:rsid w:val="0069104A"/>
    <w:rPr>
      <w:color w:val="954F72" w:themeColor="followedHyperlink"/>
      <w:u w:val="single"/>
    </w:rPr>
  </w:style>
  <w:style w:type="paragraph" w:styleId="Footer">
    <w:name w:val="footer"/>
    <w:basedOn w:val="Normal"/>
    <w:link w:val="FooterChar"/>
    <w:uiPriority w:val="99"/>
    <w:unhideWhenUsed/>
    <w:rsid w:val="00FD18ED"/>
    <w:pPr>
      <w:tabs>
        <w:tab w:val="center" w:pos="4513"/>
        <w:tab w:val="right" w:pos="9026"/>
      </w:tabs>
    </w:pPr>
  </w:style>
  <w:style w:type="character" w:customStyle="1" w:styleId="FooterChar">
    <w:name w:val="Footer Char"/>
    <w:basedOn w:val="DefaultParagraphFont"/>
    <w:link w:val="Footer"/>
    <w:uiPriority w:val="99"/>
    <w:rsid w:val="00FD18ED"/>
  </w:style>
  <w:style w:type="character" w:styleId="PageNumber">
    <w:name w:val="page number"/>
    <w:basedOn w:val="DefaultParagraphFont"/>
    <w:uiPriority w:val="99"/>
    <w:semiHidden/>
    <w:unhideWhenUsed/>
    <w:rsid w:val="00FD18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821262">
      <w:bodyDiv w:val="1"/>
      <w:marLeft w:val="0"/>
      <w:marRight w:val="0"/>
      <w:marTop w:val="0"/>
      <w:marBottom w:val="0"/>
      <w:divBdr>
        <w:top w:val="none" w:sz="0" w:space="0" w:color="auto"/>
        <w:left w:val="none" w:sz="0" w:space="0" w:color="auto"/>
        <w:bottom w:val="none" w:sz="0" w:space="0" w:color="auto"/>
        <w:right w:val="none" w:sz="0" w:space="0" w:color="auto"/>
      </w:divBdr>
      <w:divsChild>
        <w:div w:id="1120370110">
          <w:marLeft w:val="0"/>
          <w:marRight w:val="0"/>
          <w:marTop w:val="0"/>
          <w:marBottom w:val="0"/>
          <w:divBdr>
            <w:top w:val="none" w:sz="0" w:space="0" w:color="auto"/>
            <w:left w:val="none" w:sz="0" w:space="0" w:color="auto"/>
            <w:bottom w:val="none" w:sz="0" w:space="0" w:color="auto"/>
            <w:right w:val="none" w:sz="0" w:space="0" w:color="auto"/>
          </w:divBdr>
          <w:divsChild>
            <w:div w:id="1159418210">
              <w:marLeft w:val="0"/>
              <w:marRight w:val="0"/>
              <w:marTop w:val="0"/>
              <w:marBottom w:val="0"/>
              <w:divBdr>
                <w:top w:val="none" w:sz="0" w:space="0" w:color="auto"/>
                <w:left w:val="none" w:sz="0" w:space="0" w:color="auto"/>
                <w:bottom w:val="none" w:sz="0" w:space="0" w:color="auto"/>
                <w:right w:val="none" w:sz="0" w:space="0" w:color="auto"/>
              </w:divBdr>
              <w:divsChild>
                <w:div w:id="2044598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475560">
      <w:bodyDiv w:val="1"/>
      <w:marLeft w:val="0"/>
      <w:marRight w:val="0"/>
      <w:marTop w:val="0"/>
      <w:marBottom w:val="0"/>
      <w:divBdr>
        <w:top w:val="none" w:sz="0" w:space="0" w:color="auto"/>
        <w:left w:val="none" w:sz="0" w:space="0" w:color="auto"/>
        <w:bottom w:val="none" w:sz="0" w:space="0" w:color="auto"/>
        <w:right w:val="none" w:sz="0" w:space="0" w:color="auto"/>
      </w:divBdr>
    </w:div>
    <w:div w:id="563566669">
      <w:bodyDiv w:val="1"/>
      <w:marLeft w:val="0"/>
      <w:marRight w:val="0"/>
      <w:marTop w:val="0"/>
      <w:marBottom w:val="0"/>
      <w:divBdr>
        <w:top w:val="none" w:sz="0" w:space="0" w:color="auto"/>
        <w:left w:val="none" w:sz="0" w:space="0" w:color="auto"/>
        <w:bottom w:val="none" w:sz="0" w:space="0" w:color="auto"/>
        <w:right w:val="none" w:sz="0" w:space="0" w:color="auto"/>
      </w:divBdr>
      <w:divsChild>
        <w:div w:id="1094011815">
          <w:marLeft w:val="0"/>
          <w:marRight w:val="0"/>
          <w:marTop w:val="0"/>
          <w:marBottom w:val="0"/>
          <w:divBdr>
            <w:top w:val="none" w:sz="0" w:space="0" w:color="auto"/>
            <w:left w:val="none" w:sz="0" w:space="0" w:color="auto"/>
            <w:bottom w:val="none" w:sz="0" w:space="0" w:color="auto"/>
            <w:right w:val="none" w:sz="0" w:space="0" w:color="auto"/>
          </w:divBdr>
          <w:divsChild>
            <w:div w:id="1365328459">
              <w:marLeft w:val="0"/>
              <w:marRight w:val="0"/>
              <w:marTop w:val="0"/>
              <w:marBottom w:val="0"/>
              <w:divBdr>
                <w:top w:val="none" w:sz="0" w:space="0" w:color="auto"/>
                <w:left w:val="none" w:sz="0" w:space="0" w:color="auto"/>
                <w:bottom w:val="none" w:sz="0" w:space="0" w:color="auto"/>
                <w:right w:val="none" w:sz="0" w:space="0" w:color="auto"/>
              </w:divBdr>
              <w:divsChild>
                <w:div w:id="175967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179011">
          <w:marLeft w:val="0"/>
          <w:marRight w:val="0"/>
          <w:marTop w:val="0"/>
          <w:marBottom w:val="0"/>
          <w:divBdr>
            <w:top w:val="none" w:sz="0" w:space="0" w:color="auto"/>
            <w:left w:val="none" w:sz="0" w:space="0" w:color="auto"/>
            <w:bottom w:val="none" w:sz="0" w:space="0" w:color="auto"/>
            <w:right w:val="none" w:sz="0" w:space="0" w:color="auto"/>
          </w:divBdr>
          <w:divsChild>
            <w:div w:id="398021185">
              <w:marLeft w:val="0"/>
              <w:marRight w:val="0"/>
              <w:marTop w:val="0"/>
              <w:marBottom w:val="0"/>
              <w:divBdr>
                <w:top w:val="none" w:sz="0" w:space="0" w:color="auto"/>
                <w:left w:val="none" w:sz="0" w:space="0" w:color="auto"/>
                <w:bottom w:val="none" w:sz="0" w:space="0" w:color="auto"/>
                <w:right w:val="none" w:sz="0" w:space="0" w:color="auto"/>
              </w:divBdr>
              <w:divsChild>
                <w:div w:id="990790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6038310">
      <w:bodyDiv w:val="1"/>
      <w:marLeft w:val="0"/>
      <w:marRight w:val="0"/>
      <w:marTop w:val="0"/>
      <w:marBottom w:val="0"/>
      <w:divBdr>
        <w:top w:val="none" w:sz="0" w:space="0" w:color="auto"/>
        <w:left w:val="none" w:sz="0" w:space="0" w:color="auto"/>
        <w:bottom w:val="none" w:sz="0" w:space="0" w:color="auto"/>
        <w:right w:val="none" w:sz="0" w:space="0" w:color="auto"/>
      </w:divBdr>
      <w:divsChild>
        <w:div w:id="880826743">
          <w:marLeft w:val="0"/>
          <w:marRight w:val="0"/>
          <w:marTop w:val="0"/>
          <w:marBottom w:val="0"/>
          <w:divBdr>
            <w:top w:val="none" w:sz="0" w:space="0" w:color="auto"/>
            <w:left w:val="none" w:sz="0" w:space="0" w:color="auto"/>
            <w:bottom w:val="none" w:sz="0" w:space="0" w:color="auto"/>
            <w:right w:val="none" w:sz="0" w:space="0" w:color="auto"/>
          </w:divBdr>
          <w:divsChild>
            <w:div w:id="957368159">
              <w:marLeft w:val="0"/>
              <w:marRight w:val="0"/>
              <w:marTop w:val="0"/>
              <w:marBottom w:val="0"/>
              <w:divBdr>
                <w:top w:val="none" w:sz="0" w:space="0" w:color="auto"/>
                <w:left w:val="none" w:sz="0" w:space="0" w:color="auto"/>
                <w:bottom w:val="none" w:sz="0" w:space="0" w:color="auto"/>
                <w:right w:val="none" w:sz="0" w:space="0" w:color="auto"/>
              </w:divBdr>
              <w:divsChild>
                <w:div w:id="452142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982500">
      <w:bodyDiv w:val="1"/>
      <w:marLeft w:val="0"/>
      <w:marRight w:val="0"/>
      <w:marTop w:val="0"/>
      <w:marBottom w:val="0"/>
      <w:divBdr>
        <w:top w:val="none" w:sz="0" w:space="0" w:color="auto"/>
        <w:left w:val="none" w:sz="0" w:space="0" w:color="auto"/>
        <w:bottom w:val="none" w:sz="0" w:space="0" w:color="auto"/>
        <w:right w:val="none" w:sz="0" w:space="0" w:color="auto"/>
      </w:divBdr>
      <w:divsChild>
        <w:div w:id="352342013">
          <w:marLeft w:val="0"/>
          <w:marRight w:val="0"/>
          <w:marTop w:val="0"/>
          <w:marBottom w:val="0"/>
          <w:divBdr>
            <w:top w:val="none" w:sz="0" w:space="0" w:color="auto"/>
            <w:left w:val="none" w:sz="0" w:space="0" w:color="auto"/>
            <w:bottom w:val="none" w:sz="0" w:space="0" w:color="auto"/>
            <w:right w:val="none" w:sz="0" w:space="0" w:color="auto"/>
          </w:divBdr>
          <w:divsChild>
            <w:div w:id="2054453000">
              <w:marLeft w:val="0"/>
              <w:marRight w:val="0"/>
              <w:marTop w:val="0"/>
              <w:marBottom w:val="0"/>
              <w:divBdr>
                <w:top w:val="none" w:sz="0" w:space="0" w:color="auto"/>
                <w:left w:val="none" w:sz="0" w:space="0" w:color="auto"/>
                <w:bottom w:val="none" w:sz="0" w:space="0" w:color="auto"/>
                <w:right w:val="none" w:sz="0" w:space="0" w:color="auto"/>
              </w:divBdr>
              <w:divsChild>
                <w:div w:id="161042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367625">
      <w:bodyDiv w:val="1"/>
      <w:marLeft w:val="0"/>
      <w:marRight w:val="0"/>
      <w:marTop w:val="0"/>
      <w:marBottom w:val="0"/>
      <w:divBdr>
        <w:top w:val="none" w:sz="0" w:space="0" w:color="auto"/>
        <w:left w:val="none" w:sz="0" w:space="0" w:color="auto"/>
        <w:bottom w:val="none" w:sz="0" w:space="0" w:color="auto"/>
        <w:right w:val="none" w:sz="0" w:space="0" w:color="auto"/>
      </w:divBdr>
      <w:divsChild>
        <w:div w:id="1774010047">
          <w:marLeft w:val="0"/>
          <w:marRight w:val="0"/>
          <w:marTop w:val="0"/>
          <w:marBottom w:val="0"/>
          <w:divBdr>
            <w:top w:val="none" w:sz="0" w:space="0" w:color="auto"/>
            <w:left w:val="none" w:sz="0" w:space="0" w:color="auto"/>
            <w:bottom w:val="none" w:sz="0" w:space="0" w:color="auto"/>
            <w:right w:val="none" w:sz="0" w:space="0" w:color="auto"/>
          </w:divBdr>
          <w:divsChild>
            <w:div w:id="1625959580">
              <w:marLeft w:val="0"/>
              <w:marRight w:val="0"/>
              <w:marTop w:val="0"/>
              <w:marBottom w:val="0"/>
              <w:divBdr>
                <w:top w:val="none" w:sz="0" w:space="0" w:color="auto"/>
                <w:left w:val="none" w:sz="0" w:space="0" w:color="auto"/>
                <w:bottom w:val="none" w:sz="0" w:space="0" w:color="auto"/>
                <w:right w:val="none" w:sz="0" w:space="0" w:color="auto"/>
              </w:divBdr>
              <w:divsChild>
                <w:div w:id="96339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123181">
      <w:bodyDiv w:val="1"/>
      <w:marLeft w:val="0"/>
      <w:marRight w:val="0"/>
      <w:marTop w:val="0"/>
      <w:marBottom w:val="0"/>
      <w:divBdr>
        <w:top w:val="none" w:sz="0" w:space="0" w:color="auto"/>
        <w:left w:val="none" w:sz="0" w:space="0" w:color="auto"/>
        <w:bottom w:val="none" w:sz="0" w:space="0" w:color="auto"/>
        <w:right w:val="none" w:sz="0" w:space="0" w:color="auto"/>
      </w:divBdr>
      <w:divsChild>
        <w:div w:id="540018871">
          <w:marLeft w:val="0"/>
          <w:marRight w:val="0"/>
          <w:marTop w:val="0"/>
          <w:marBottom w:val="0"/>
          <w:divBdr>
            <w:top w:val="none" w:sz="0" w:space="0" w:color="auto"/>
            <w:left w:val="none" w:sz="0" w:space="0" w:color="auto"/>
            <w:bottom w:val="none" w:sz="0" w:space="0" w:color="auto"/>
            <w:right w:val="none" w:sz="0" w:space="0" w:color="auto"/>
          </w:divBdr>
          <w:divsChild>
            <w:div w:id="1204518278">
              <w:marLeft w:val="0"/>
              <w:marRight w:val="0"/>
              <w:marTop w:val="0"/>
              <w:marBottom w:val="0"/>
              <w:divBdr>
                <w:top w:val="none" w:sz="0" w:space="0" w:color="auto"/>
                <w:left w:val="none" w:sz="0" w:space="0" w:color="auto"/>
                <w:bottom w:val="none" w:sz="0" w:space="0" w:color="auto"/>
                <w:right w:val="none" w:sz="0" w:space="0" w:color="auto"/>
              </w:divBdr>
              <w:divsChild>
                <w:div w:id="10728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658217">
      <w:bodyDiv w:val="1"/>
      <w:marLeft w:val="0"/>
      <w:marRight w:val="0"/>
      <w:marTop w:val="0"/>
      <w:marBottom w:val="0"/>
      <w:divBdr>
        <w:top w:val="none" w:sz="0" w:space="0" w:color="auto"/>
        <w:left w:val="none" w:sz="0" w:space="0" w:color="auto"/>
        <w:bottom w:val="none" w:sz="0" w:space="0" w:color="auto"/>
        <w:right w:val="none" w:sz="0" w:space="0" w:color="auto"/>
      </w:divBdr>
      <w:divsChild>
        <w:div w:id="1006440545">
          <w:marLeft w:val="0"/>
          <w:marRight w:val="0"/>
          <w:marTop w:val="0"/>
          <w:marBottom w:val="0"/>
          <w:divBdr>
            <w:top w:val="none" w:sz="0" w:space="0" w:color="auto"/>
            <w:left w:val="none" w:sz="0" w:space="0" w:color="auto"/>
            <w:bottom w:val="none" w:sz="0" w:space="0" w:color="auto"/>
            <w:right w:val="none" w:sz="0" w:space="0" w:color="auto"/>
          </w:divBdr>
          <w:divsChild>
            <w:div w:id="1366834459">
              <w:marLeft w:val="0"/>
              <w:marRight w:val="0"/>
              <w:marTop w:val="0"/>
              <w:marBottom w:val="0"/>
              <w:divBdr>
                <w:top w:val="none" w:sz="0" w:space="0" w:color="auto"/>
                <w:left w:val="none" w:sz="0" w:space="0" w:color="auto"/>
                <w:bottom w:val="none" w:sz="0" w:space="0" w:color="auto"/>
                <w:right w:val="none" w:sz="0" w:space="0" w:color="auto"/>
              </w:divBdr>
              <w:divsChild>
                <w:div w:id="51800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899191">
      <w:bodyDiv w:val="1"/>
      <w:marLeft w:val="0"/>
      <w:marRight w:val="0"/>
      <w:marTop w:val="0"/>
      <w:marBottom w:val="0"/>
      <w:divBdr>
        <w:top w:val="none" w:sz="0" w:space="0" w:color="auto"/>
        <w:left w:val="none" w:sz="0" w:space="0" w:color="auto"/>
        <w:bottom w:val="none" w:sz="0" w:space="0" w:color="auto"/>
        <w:right w:val="none" w:sz="0" w:space="0" w:color="auto"/>
      </w:divBdr>
      <w:divsChild>
        <w:div w:id="2062750374">
          <w:marLeft w:val="0"/>
          <w:marRight w:val="0"/>
          <w:marTop w:val="0"/>
          <w:marBottom w:val="0"/>
          <w:divBdr>
            <w:top w:val="none" w:sz="0" w:space="0" w:color="auto"/>
            <w:left w:val="none" w:sz="0" w:space="0" w:color="auto"/>
            <w:bottom w:val="none" w:sz="0" w:space="0" w:color="auto"/>
            <w:right w:val="none" w:sz="0" w:space="0" w:color="auto"/>
          </w:divBdr>
          <w:divsChild>
            <w:div w:id="1725832764">
              <w:marLeft w:val="0"/>
              <w:marRight w:val="0"/>
              <w:marTop w:val="0"/>
              <w:marBottom w:val="0"/>
              <w:divBdr>
                <w:top w:val="none" w:sz="0" w:space="0" w:color="auto"/>
                <w:left w:val="none" w:sz="0" w:space="0" w:color="auto"/>
                <w:bottom w:val="none" w:sz="0" w:space="0" w:color="auto"/>
                <w:right w:val="none" w:sz="0" w:space="0" w:color="auto"/>
              </w:divBdr>
              <w:divsChild>
                <w:div w:id="139122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272186">
      <w:bodyDiv w:val="1"/>
      <w:marLeft w:val="0"/>
      <w:marRight w:val="0"/>
      <w:marTop w:val="0"/>
      <w:marBottom w:val="0"/>
      <w:divBdr>
        <w:top w:val="none" w:sz="0" w:space="0" w:color="auto"/>
        <w:left w:val="none" w:sz="0" w:space="0" w:color="auto"/>
        <w:bottom w:val="none" w:sz="0" w:space="0" w:color="auto"/>
        <w:right w:val="none" w:sz="0" w:space="0" w:color="auto"/>
      </w:divBdr>
      <w:divsChild>
        <w:div w:id="1105425086">
          <w:marLeft w:val="0"/>
          <w:marRight w:val="0"/>
          <w:marTop w:val="0"/>
          <w:marBottom w:val="0"/>
          <w:divBdr>
            <w:top w:val="none" w:sz="0" w:space="0" w:color="auto"/>
            <w:left w:val="none" w:sz="0" w:space="0" w:color="auto"/>
            <w:bottom w:val="none" w:sz="0" w:space="0" w:color="auto"/>
            <w:right w:val="none" w:sz="0" w:space="0" w:color="auto"/>
          </w:divBdr>
          <w:divsChild>
            <w:div w:id="2046367170">
              <w:marLeft w:val="0"/>
              <w:marRight w:val="0"/>
              <w:marTop w:val="0"/>
              <w:marBottom w:val="0"/>
              <w:divBdr>
                <w:top w:val="none" w:sz="0" w:space="0" w:color="auto"/>
                <w:left w:val="none" w:sz="0" w:space="0" w:color="auto"/>
                <w:bottom w:val="none" w:sz="0" w:space="0" w:color="auto"/>
                <w:right w:val="none" w:sz="0" w:space="0" w:color="auto"/>
              </w:divBdr>
              <w:divsChild>
                <w:div w:id="30690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ss.independent-review.uk/home/publications/final-report/" TargetMode="External"/><Relationship Id="rId13" Type="http://schemas.openxmlformats.org/officeDocument/2006/relationships/hyperlink" Target="https://www.gov.uk/government/publications/public-sector-equality-duty-guidance-for-public-authorities" TargetMode="External"/><Relationship Id="rId18" Type="http://schemas.openxmlformats.org/officeDocument/2006/relationships/hyperlink" Target="https://www.bailii.org/uk/cases/UKSC/2021/37.html"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matrixlaw.co.uk/member/karon-monaghan/" TargetMode="External"/><Relationship Id="rId7" Type="http://schemas.openxmlformats.org/officeDocument/2006/relationships/endnotes" Target="endnotes.xml"/><Relationship Id="rId12" Type="http://schemas.openxmlformats.org/officeDocument/2006/relationships/hyperlink" Target="https://www.legislation.gov.uk/ukpga/2010/15/section/149" TargetMode="External"/><Relationship Id="rId17" Type="http://schemas.openxmlformats.org/officeDocument/2006/relationships/hyperlink" Target="https://assets.publishing.service.gov.uk/media/64f0a68ea78c5f000dc6f3b2/Keeping_children_safe_in_education_2023.pdf"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assets.publishing.service.gov.uk/media/65ae82d58bbe95000e5eb1f7/Ms_J_Pheonix_v_The_Open_University_3322700.2021___other_FMH_Reserved_Judgment.pdf" TargetMode="External"/><Relationship Id="rId20" Type="http://schemas.openxmlformats.org/officeDocument/2006/relationships/hyperlink" Target="https://www.churchofengland.org/media-and-news/stories-blogs-and-features/valuing-all-gods-children-response-recent-claim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islation.gov.uk/ukpga/1996/56/section/407"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static1.squarespace.com/static/607d6cba0ef43a2dbb27df45/t/659d3816f1b61a3f93f35e32/1704802327468/2200179+2022+and+2211483+2022+Meade+v+Westminster+City+Council+and+Social+Work+England+judgment+give+to+parties+8+January+2024.pdf" TargetMode="External"/><Relationship Id="rId23" Type="http://schemas.openxmlformats.org/officeDocument/2006/relationships/footer" Target="footer1.xml"/><Relationship Id="rId10" Type="http://schemas.openxmlformats.org/officeDocument/2006/relationships/hyperlink" Target="https://www.legislation.gov.uk/ukpga/1996/56/section/406" TargetMode="External"/><Relationship Id="rId19" Type="http://schemas.openxmlformats.org/officeDocument/2006/relationships/hyperlink" Target="https://www.churchofengland.org/about/education-and-schools/education-publications/valuing-all-gods-children-2017" TargetMode="External"/><Relationship Id="rId4" Type="http://schemas.openxmlformats.org/officeDocument/2006/relationships/settings" Target="settings.xml"/><Relationship Id="rId9" Type="http://schemas.openxmlformats.org/officeDocument/2006/relationships/hyperlink" Target="https://www.churchofengland.org/about/education-and-schools/church-schools-and-academies" TargetMode="External"/><Relationship Id="rId14" Type="http://schemas.openxmlformats.org/officeDocument/2006/relationships/hyperlink" Target="https://www.bailii.org/uk/cases/UKEAT/2021/0105_20_1006.html" TargetMode="External"/><Relationship Id="rId22" Type="http://schemas.openxmlformats.org/officeDocument/2006/relationships/hyperlink" Target="https://www.theguardian.com/commentisfree/2024/apr/26/cass-review-gender-identity-services-rep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CB105F-665E-C641-A046-9991A788A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8</Pages>
  <Words>2752</Words>
  <Characters>15689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Mcnamara</dc:creator>
  <cp:keywords/>
  <dc:description/>
  <cp:lastModifiedBy>Stephen Mcnamara</cp:lastModifiedBy>
  <cp:revision>5</cp:revision>
  <dcterms:created xsi:type="dcterms:W3CDTF">2024-05-03T09:59:00Z</dcterms:created>
  <dcterms:modified xsi:type="dcterms:W3CDTF">2024-05-05T14:12:00Z</dcterms:modified>
</cp:coreProperties>
</file>