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sz w:val="20"/>
          <w:szCs w:val="20"/>
        </w:rPr>
      </w:pPr>
      <w:r w:rsidDel="00000000" w:rsidR="00000000" w:rsidRPr="00000000">
        <w:rPr>
          <w:sz w:val="20"/>
          <w:szCs w:val="20"/>
          <w:rtl w:val="0"/>
        </w:rPr>
        <w:t xml:space="preserve">Protect and Teach</w:t>
      </w:r>
      <w:r w:rsidDel="00000000" w:rsidR="00000000" w:rsidRPr="00000000">
        <w:drawing>
          <wp:anchor allowOverlap="1" behindDoc="1" distB="114300" distT="114300" distL="114300" distR="114300" hidden="0" layoutInCell="1" locked="0" relativeHeight="0" simplePos="0">
            <wp:simplePos x="0" y="0"/>
            <wp:positionH relativeFrom="column">
              <wp:posOffset>4076700</wp:posOffset>
            </wp:positionH>
            <wp:positionV relativeFrom="paragraph">
              <wp:posOffset>225400</wp:posOffset>
            </wp:positionV>
            <wp:extent cx="2000891" cy="462000"/>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00891" cy="462000"/>
                    </a:xfrm>
                    <a:prstGeom prst="rect"/>
                    <a:ln/>
                  </pic:spPr>
                </pic:pic>
              </a:graphicData>
            </a:graphic>
          </wp:anchor>
        </w:drawing>
      </w:r>
    </w:p>
    <w:p w:rsidR="00000000" w:rsidDel="00000000" w:rsidP="00000000" w:rsidRDefault="00000000" w:rsidRPr="00000000" w14:paraId="00000002">
      <w:pPr>
        <w:jc w:val="right"/>
        <w:rPr>
          <w:sz w:val="20"/>
          <w:szCs w:val="20"/>
        </w:rPr>
      </w:pPr>
      <w:hyperlink r:id="rId8">
        <w:r w:rsidDel="00000000" w:rsidR="00000000" w:rsidRPr="00000000">
          <w:rPr>
            <w:color w:val="0563c1"/>
            <w:sz w:val="20"/>
            <w:szCs w:val="20"/>
            <w:u w:val="single"/>
            <w:rtl w:val="0"/>
          </w:rPr>
          <w:t xml:space="preserve">protectteach@gmail.com</w:t>
        </w:r>
      </w:hyperlink>
      <w:r w:rsidDel="00000000" w:rsidR="00000000" w:rsidRPr="00000000">
        <w:rPr>
          <w:rtl w:val="0"/>
        </w:rPr>
      </w:r>
    </w:p>
    <w:p w:rsidR="00000000" w:rsidDel="00000000" w:rsidP="00000000" w:rsidRDefault="00000000" w:rsidRPr="00000000" w14:paraId="00000003">
      <w:pPr>
        <w:jc w:val="right"/>
        <w:rPr>
          <w:sz w:val="20"/>
          <w:szCs w:val="20"/>
        </w:rPr>
      </w:pPr>
      <w:r w:rsidDel="00000000" w:rsidR="00000000" w:rsidRPr="00000000">
        <w:rPr>
          <w:sz w:val="20"/>
          <w:szCs w:val="20"/>
          <w:rtl w:val="0"/>
        </w:rPr>
        <w:t xml:space="preserve">9th May 2024</w:t>
      </w:r>
    </w:p>
    <w:p w:rsidR="00000000" w:rsidDel="00000000" w:rsidP="00000000" w:rsidRDefault="00000000" w:rsidRPr="00000000" w14:paraId="00000004">
      <w:pPr>
        <w:jc w:val="right"/>
        <w:rPr>
          <w:sz w:val="20"/>
          <w:szCs w:val="20"/>
        </w:rPr>
      </w:pPr>
      <w:r w:rsidDel="00000000" w:rsidR="00000000" w:rsidRPr="00000000">
        <w:rPr>
          <w:rtl w:val="0"/>
        </w:rPr>
      </w:r>
    </w:p>
    <w:p w:rsidR="00000000" w:rsidDel="00000000" w:rsidP="00000000" w:rsidRDefault="00000000" w:rsidRPr="00000000" w14:paraId="00000005">
      <w:pPr>
        <w:jc w:val="right"/>
        <w:rPr>
          <w:sz w:val="20"/>
          <w:szCs w:val="20"/>
        </w:rPr>
      </w:pPr>
      <w:r w:rsidDel="00000000" w:rsidR="00000000" w:rsidRPr="00000000">
        <w:rPr>
          <w:rtl w:val="0"/>
        </w:rPr>
      </w:r>
    </w:p>
    <w:p w:rsidR="00000000" w:rsidDel="00000000" w:rsidP="00000000" w:rsidRDefault="00000000" w:rsidRPr="00000000" w14:paraId="00000006">
      <w:pPr>
        <w:jc w:val="both"/>
        <w:rPr>
          <w:b w:val="1"/>
          <w:sz w:val="20"/>
          <w:szCs w:val="20"/>
        </w:rPr>
      </w:pPr>
      <w:r w:rsidDel="00000000" w:rsidR="00000000" w:rsidRPr="00000000">
        <w:rPr>
          <w:sz w:val="20"/>
          <w:szCs w:val="20"/>
          <w:rtl w:val="0"/>
        </w:rPr>
        <w:t xml:space="preserve">Dear Mr Genders </w:t>
      </w:r>
      <w:r w:rsidDel="00000000" w:rsidR="00000000" w:rsidRPr="00000000">
        <w:rPr>
          <w:rtl w:val="0"/>
        </w:rPr>
      </w:r>
    </w:p>
    <w:p w:rsidR="00000000" w:rsidDel="00000000" w:rsidP="00000000" w:rsidRDefault="00000000" w:rsidRPr="00000000" w14:paraId="00000007">
      <w:pPr>
        <w:jc w:val="both"/>
        <w:rPr>
          <w:b w:val="1"/>
          <w:sz w:val="20"/>
          <w:szCs w:val="20"/>
        </w:rPr>
      </w:pPr>
      <w:r w:rsidDel="00000000" w:rsidR="00000000" w:rsidRPr="00000000">
        <w:rPr>
          <w:rtl w:val="0"/>
        </w:rPr>
      </w:r>
    </w:p>
    <w:p w:rsidR="00000000" w:rsidDel="00000000" w:rsidP="00000000" w:rsidRDefault="00000000" w:rsidRPr="00000000" w14:paraId="00000008">
      <w:pPr>
        <w:jc w:val="both"/>
        <w:rPr>
          <w:sz w:val="20"/>
          <w:szCs w:val="20"/>
        </w:rPr>
      </w:pPr>
      <w:r w:rsidDel="00000000" w:rsidR="00000000" w:rsidRPr="00000000">
        <w:rPr>
          <w:sz w:val="20"/>
          <w:szCs w:val="20"/>
          <w:rtl w:val="0"/>
        </w:rPr>
        <w:t xml:space="preserve">Thank you for your email. We believe that there are people in the Church who hold </w:t>
      </w:r>
      <w:hyperlink r:id="rId9">
        <w:r w:rsidDel="00000000" w:rsidR="00000000" w:rsidRPr="00000000">
          <w:rPr>
            <w:color w:val="1155cc"/>
            <w:sz w:val="20"/>
            <w:szCs w:val="20"/>
            <w:u w:val="single"/>
            <w:rtl w:val="0"/>
          </w:rPr>
          <w:t xml:space="preserve">decent Christian views</w:t>
        </w:r>
      </w:hyperlink>
      <w:r w:rsidDel="00000000" w:rsidR="00000000" w:rsidRPr="00000000">
        <w:rPr>
          <w:sz w:val="20"/>
          <w:szCs w:val="20"/>
          <w:rtl w:val="0"/>
        </w:rPr>
        <w:t xml:space="preserve"> about trans ideology, such as those detailed by the </w:t>
      </w:r>
      <w:hyperlink r:id="rId10">
        <w:r w:rsidDel="00000000" w:rsidR="00000000" w:rsidRPr="00000000">
          <w:rPr>
            <w:color w:val="1155cc"/>
            <w:sz w:val="20"/>
            <w:szCs w:val="20"/>
            <w:u w:val="single"/>
            <w:rtl w:val="0"/>
          </w:rPr>
          <w:t xml:space="preserve">Catholic church</w:t>
        </w:r>
      </w:hyperlink>
      <w:r w:rsidDel="00000000" w:rsidR="00000000" w:rsidRPr="00000000">
        <w:rPr>
          <w:sz w:val="20"/>
          <w:szCs w:val="20"/>
          <w:rtl w:val="0"/>
        </w:rPr>
        <w:t xml:space="preserve">.</w:t>
      </w:r>
    </w:p>
    <w:p w:rsidR="00000000" w:rsidDel="00000000" w:rsidP="00000000" w:rsidRDefault="00000000" w:rsidRPr="00000000" w14:paraId="00000009">
      <w:pPr>
        <w:spacing w:line="276" w:lineRule="auto"/>
        <w:rPr>
          <w:sz w:val="20"/>
          <w:szCs w:val="20"/>
        </w:rPr>
      </w:pPr>
      <w:r w:rsidDel="00000000" w:rsidR="00000000" w:rsidRPr="00000000">
        <w:rPr>
          <w:rtl w:val="0"/>
        </w:rPr>
      </w:r>
    </w:p>
    <w:p w:rsidR="00000000" w:rsidDel="00000000" w:rsidP="00000000" w:rsidRDefault="00000000" w:rsidRPr="00000000" w14:paraId="0000000A">
      <w:pPr>
        <w:spacing w:line="276" w:lineRule="auto"/>
        <w:rPr>
          <w:i w:val="1"/>
          <w:sz w:val="20"/>
          <w:szCs w:val="20"/>
        </w:rPr>
      </w:pPr>
      <w:r w:rsidDel="00000000" w:rsidR="00000000" w:rsidRPr="00000000">
        <w:rPr>
          <w:i w:val="1"/>
          <w:sz w:val="20"/>
          <w:szCs w:val="20"/>
          <w:rtl w:val="0"/>
        </w:rPr>
        <w:t xml:space="preserve">For the Christian, leading people to the fullness of life in Christ must always be a journey rooted in truth as well as compassion, as only ‘charity in truth [can be]…the principal</w:t>
      </w:r>
    </w:p>
    <w:p w:rsidR="00000000" w:rsidDel="00000000" w:rsidP="00000000" w:rsidRDefault="00000000" w:rsidRPr="00000000" w14:paraId="0000000B">
      <w:pPr>
        <w:spacing w:line="276" w:lineRule="auto"/>
        <w:rPr>
          <w:sz w:val="20"/>
          <w:szCs w:val="20"/>
        </w:rPr>
      </w:pPr>
      <w:r w:rsidDel="00000000" w:rsidR="00000000" w:rsidRPr="00000000">
        <w:rPr>
          <w:i w:val="1"/>
          <w:sz w:val="20"/>
          <w:szCs w:val="20"/>
          <w:rtl w:val="0"/>
        </w:rPr>
        <w:t xml:space="preserve">driving force behind the authentic development of every person and of all humanity</w:t>
      </w:r>
      <w:r w:rsidDel="00000000" w:rsidR="00000000" w:rsidRPr="00000000">
        <w:rPr>
          <w:rtl w:val="0"/>
        </w:rPr>
      </w:r>
    </w:p>
    <w:p w:rsidR="00000000" w:rsidDel="00000000" w:rsidP="00000000" w:rsidRDefault="00000000" w:rsidRPr="00000000" w14:paraId="0000000C">
      <w:pPr>
        <w:spacing w:line="276" w:lineRule="auto"/>
        <w:rPr>
          <w:sz w:val="20"/>
          <w:szCs w:val="20"/>
        </w:rPr>
      </w:pPr>
      <w:r w:rsidDel="00000000" w:rsidR="00000000" w:rsidRPr="00000000">
        <w:rPr>
          <w:rtl w:val="0"/>
        </w:rPr>
      </w:r>
    </w:p>
    <w:p w:rsidR="00000000" w:rsidDel="00000000" w:rsidP="00000000" w:rsidRDefault="00000000" w:rsidRPr="00000000" w14:paraId="0000000D">
      <w:pPr>
        <w:spacing w:line="276" w:lineRule="auto"/>
        <w:rPr>
          <w:sz w:val="20"/>
          <w:szCs w:val="20"/>
        </w:rPr>
      </w:pPr>
      <w:r w:rsidDel="00000000" w:rsidR="00000000" w:rsidRPr="00000000">
        <w:rPr>
          <w:sz w:val="20"/>
          <w:szCs w:val="20"/>
          <w:rtl w:val="0"/>
        </w:rPr>
        <w:t xml:space="preserve">We trust they would not be happy for you to respond for them and that they can recognise that this is an urgent matter which requires the Guidance to be withdrawn.</w:t>
      </w:r>
    </w:p>
    <w:p w:rsidR="00000000" w:rsidDel="00000000" w:rsidP="00000000" w:rsidRDefault="00000000" w:rsidRPr="00000000" w14:paraId="0000000E">
      <w:pPr>
        <w:jc w:val="both"/>
        <w:rPr>
          <w:sz w:val="20"/>
          <w:szCs w:val="20"/>
        </w:rPr>
      </w:pPr>
      <w:r w:rsidDel="00000000" w:rsidR="00000000" w:rsidRPr="00000000">
        <w:rPr>
          <w:rtl w:val="0"/>
        </w:rPr>
      </w:r>
    </w:p>
    <w:p w:rsidR="00000000" w:rsidDel="00000000" w:rsidP="00000000" w:rsidRDefault="00000000" w:rsidRPr="00000000" w14:paraId="0000000F">
      <w:pPr>
        <w:jc w:val="both"/>
        <w:rPr>
          <w:sz w:val="20"/>
          <w:szCs w:val="20"/>
        </w:rPr>
      </w:pPr>
      <w:r w:rsidDel="00000000" w:rsidR="00000000" w:rsidRPr="00000000">
        <w:rPr>
          <w:sz w:val="20"/>
          <w:szCs w:val="20"/>
          <w:rtl w:val="0"/>
        </w:rPr>
        <w:t xml:space="preserve">You say:</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Guidance is a document intended to help schools address bullying;</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Guidance does not promote a trans ideology and</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Guidance will be updated when the  government guidance on gender questioning children is available.</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jc w:val="both"/>
        <w:rPr>
          <w:sz w:val="20"/>
          <w:szCs w:val="20"/>
        </w:rPr>
      </w:pPr>
      <w:r w:rsidDel="00000000" w:rsidR="00000000" w:rsidRPr="00000000">
        <w:rPr>
          <w:sz w:val="20"/>
          <w:szCs w:val="20"/>
          <w:rtl w:val="0"/>
        </w:rPr>
        <w:t xml:space="preserve">Our letter provides many reasons why the Guidance should be withdrawn. Your response does not engage with any of these. You say :</w:t>
      </w:r>
    </w:p>
    <w:p w:rsidR="00000000" w:rsidDel="00000000" w:rsidP="00000000" w:rsidRDefault="00000000" w:rsidRPr="00000000" w14:paraId="00000015">
      <w:pPr>
        <w:jc w:val="both"/>
        <w:rPr>
          <w:sz w:val="20"/>
          <w:szCs w:val="20"/>
        </w:rPr>
      </w:pPr>
      <w:r w:rsidDel="00000000" w:rsidR="00000000" w:rsidRPr="00000000">
        <w:rPr>
          <w:rtl w:val="0"/>
        </w:rPr>
      </w:r>
    </w:p>
    <w:p w:rsidR="00000000" w:rsidDel="00000000" w:rsidP="00000000" w:rsidRDefault="00000000" w:rsidRPr="00000000" w14:paraId="00000016">
      <w:pPr>
        <w:ind w:left="720" w:firstLine="0"/>
        <w:jc w:val="both"/>
        <w:rPr>
          <w:i w:val="1"/>
          <w:sz w:val="20"/>
          <w:szCs w:val="20"/>
        </w:rPr>
      </w:pPr>
      <w:r w:rsidDel="00000000" w:rsidR="00000000" w:rsidRPr="00000000">
        <w:rPr>
          <w:i w:val="1"/>
          <w:sz w:val="20"/>
          <w:szCs w:val="20"/>
          <w:rtl w:val="0"/>
        </w:rPr>
        <w:t xml:space="preserve"> I disagree with your assertions in your email below.</w:t>
      </w:r>
    </w:p>
    <w:p w:rsidR="00000000" w:rsidDel="00000000" w:rsidP="00000000" w:rsidRDefault="00000000" w:rsidRPr="00000000" w14:paraId="00000017">
      <w:pPr>
        <w:ind w:left="720" w:firstLine="0"/>
        <w:jc w:val="both"/>
        <w:rPr>
          <w:i w:val="1"/>
          <w:sz w:val="20"/>
          <w:szCs w:val="20"/>
        </w:rPr>
      </w:pPr>
      <w:r w:rsidDel="00000000" w:rsidR="00000000" w:rsidRPr="00000000">
        <w:rPr>
          <w:rtl w:val="0"/>
        </w:rPr>
      </w:r>
    </w:p>
    <w:p w:rsidR="00000000" w:rsidDel="00000000" w:rsidP="00000000" w:rsidRDefault="00000000" w:rsidRPr="00000000" w14:paraId="00000018">
      <w:pPr>
        <w:jc w:val="both"/>
        <w:rPr>
          <w:sz w:val="20"/>
          <w:szCs w:val="20"/>
        </w:rPr>
      </w:pPr>
      <w:r w:rsidDel="00000000" w:rsidR="00000000" w:rsidRPr="00000000">
        <w:rPr>
          <w:sz w:val="20"/>
          <w:szCs w:val="20"/>
          <w:rtl w:val="0"/>
        </w:rPr>
        <w:t xml:space="preserve">But which, and why? Do you really disagree with the points we have made about the Human Rights Act , or about the relevance of </w:t>
      </w:r>
      <w:hyperlink r:id="rId11">
        <w:r w:rsidDel="00000000" w:rsidR="00000000" w:rsidRPr="00000000">
          <w:rPr>
            <w:color w:val="954f72"/>
            <w:sz w:val="20"/>
            <w:szCs w:val="20"/>
            <w:u w:val="single"/>
            <w:rtl w:val="0"/>
          </w:rPr>
          <w:t xml:space="preserve">The Public Sector Equality Duty: guidance for public authorities</w:t>
        </w:r>
      </w:hyperlink>
      <w:r w:rsidDel="00000000" w:rsidR="00000000" w:rsidRPr="00000000">
        <w:rPr>
          <w:sz w:val="20"/>
          <w:szCs w:val="20"/>
          <w:rtl w:val="0"/>
        </w:rPr>
        <w:t xml:space="preserve"> or </w:t>
      </w:r>
      <w:hyperlink r:id="rId12">
        <w:r w:rsidDel="00000000" w:rsidR="00000000" w:rsidRPr="00000000">
          <w:rPr>
            <w:color w:val="4472c4"/>
            <w:sz w:val="20"/>
            <w:szCs w:val="20"/>
            <w:u w:val="single"/>
            <w:rtl w:val="0"/>
          </w:rPr>
          <w:t xml:space="preserve">Keeping children safe in education 2023 Statutory guidance for schools and colleges</w:t>
        </w:r>
      </w:hyperlink>
      <w:r w:rsidDel="00000000" w:rsidR="00000000" w:rsidRPr="00000000">
        <w:rPr>
          <w:color w:val="4472c4"/>
          <w:sz w:val="20"/>
          <w:szCs w:val="20"/>
          <w:u w:val="single"/>
          <w:rtl w:val="0"/>
        </w:rPr>
        <w:t xml:space="preserve">  </w:t>
      </w:r>
      <w:r w:rsidDel="00000000" w:rsidR="00000000" w:rsidRPr="00000000">
        <w:rPr>
          <w:color w:val="000000"/>
          <w:sz w:val="20"/>
          <w:szCs w:val="20"/>
          <w:rtl w:val="0"/>
        </w:rPr>
        <w:t xml:space="preserve">etc</w:t>
      </w:r>
      <w:r w:rsidDel="00000000" w:rsidR="00000000" w:rsidRPr="00000000">
        <w:rPr>
          <w:rtl w:val="0"/>
        </w:rPr>
      </w:r>
    </w:p>
    <w:p w:rsidR="00000000" w:rsidDel="00000000" w:rsidP="00000000" w:rsidRDefault="00000000" w:rsidRPr="00000000" w14:paraId="00000019">
      <w:pPr>
        <w:jc w:val="both"/>
        <w:rPr>
          <w:sz w:val="20"/>
          <w:szCs w:val="20"/>
        </w:rPr>
      </w:pPr>
      <w:r w:rsidDel="00000000" w:rsidR="00000000" w:rsidRPr="00000000">
        <w:rPr>
          <w:rtl w:val="0"/>
        </w:rPr>
      </w:r>
    </w:p>
    <w:p w:rsidR="00000000" w:rsidDel="00000000" w:rsidP="00000000" w:rsidRDefault="00000000" w:rsidRPr="00000000" w14:paraId="0000001A">
      <w:pPr>
        <w:jc w:val="both"/>
        <w:rPr>
          <w:sz w:val="20"/>
          <w:szCs w:val="20"/>
        </w:rPr>
      </w:pPr>
      <w:r w:rsidDel="00000000" w:rsidR="00000000" w:rsidRPr="00000000">
        <w:rPr>
          <w:sz w:val="20"/>
          <w:szCs w:val="20"/>
          <w:rtl w:val="0"/>
        </w:rPr>
        <w:t xml:space="preserve">We are summarily dismissed</w:t>
      </w:r>
    </w:p>
    <w:p w:rsidR="00000000" w:rsidDel="00000000" w:rsidP="00000000" w:rsidRDefault="00000000" w:rsidRPr="00000000" w14:paraId="0000001B">
      <w:pPr>
        <w:jc w:val="both"/>
        <w:rPr>
          <w:sz w:val="20"/>
          <w:szCs w:val="20"/>
        </w:rPr>
      </w:pPr>
      <w:r w:rsidDel="00000000" w:rsidR="00000000" w:rsidRPr="00000000">
        <w:rPr>
          <w:rtl w:val="0"/>
        </w:rPr>
      </w:r>
    </w:p>
    <w:p w:rsidR="00000000" w:rsidDel="00000000" w:rsidP="00000000" w:rsidRDefault="00000000" w:rsidRPr="00000000" w14:paraId="0000001C">
      <w:pPr>
        <w:jc w:val="both"/>
        <w:rPr>
          <w:b w:val="1"/>
          <w:sz w:val="20"/>
          <w:szCs w:val="20"/>
        </w:rPr>
      </w:pPr>
      <w:r w:rsidDel="00000000" w:rsidR="00000000" w:rsidRPr="00000000">
        <w:rPr>
          <w:b w:val="1"/>
          <w:sz w:val="20"/>
          <w:szCs w:val="20"/>
          <w:rtl w:val="0"/>
        </w:rPr>
        <w:t xml:space="preserve">Is a good intention good enough?</w:t>
      </w:r>
    </w:p>
    <w:p w:rsidR="00000000" w:rsidDel="00000000" w:rsidP="00000000" w:rsidRDefault="00000000" w:rsidRPr="00000000" w14:paraId="0000001D">
      <w:pPr>
        <w:jc w:val="both"/>
        <w:rPr>
          <w:b w:val="1"/>
          <w:sz w:val="20"/>
          <w:szCs w:val="20"/>
        </w:rPr>
      </w:pPr>
      <w:r w:rsidDel="00000000" w:rsidR="00000000" w:rsidRPr="00000000">
        <w:rPr>
          <w:rtl w:val="0"/>
        </w:rPr>
      </w:r>
    </w:p>
    <w:p w:rsidR="00000000" w:rsidDel="00000000" w:rsidP="00000000" w:rsidRDefault="00000000" w:rsidRPr="00000000" w14:paraId="0000001E">
      <w:pPr>
        <w:jc w:val="both"/>
        <w:rPr>
          <w:sz w:val="20"/>
          <w:szCs w:val="20"/>
        </w:rPr>
      </w:pPr>
      <w:r w:rsidDel="00000000" w:rsidR="00000000" w:rsidRPr="00000000">
        <w:rPr>
          <w:sz w:val="20"/>
          <w:szCs w:val="20"/>
          <w:rtl w:val="0"/>
        </w:rPr>
        <w:t xml:space="preserve">The intent is laudable but that is not good enough. If  any guidance is misleading or harmful, in either what it states or what it is foreseeable that people will infer from it , then it should be  withdrawn – no matter the intention. Consequences matter</w:t>
      </w:r>
    </w:p>
    <w:p w:rsidR="00000000" w:rsidDel="00000000" w:rsidP="00000000" w:rsidRDefault="00000000" w:rsidRPr="00000000" w14:paraId="0000001F">
      <w:pPr>
        <w:jc w:val="both"/>
        <w:rPr>
          <w:sz w:val="20"/>
          <w:szCs w:val="20"/>
        </w:rPr>
      </w:pPr>
      <w:r w:rsidDel="00000000" w:rsidR="00000000" w:rsidRPr="00000000">
        <w:rPr>
          <w:rtl w:val="0"/>
        </w:rPr>
      </w:r>
    </w:p>
    <w:p w:rsidR="00000000" w:rsidDel="00000000" w:rsidP="00000000" w:rsidRDefault="00000000" w:rsidRPr="00000000" w14:paraId="00000020">
      <w:pPr>
        <w:jc w:val="both"/>
        <w:rPr>
          <w:sz w:val="20"/>
          <w:szCs w:val="20"/>
        </w:rPr>
      </w:pPr>
      <w:r w:rsidDel="00000000" w:rsidR="00000000" w:rsidRPr="00000000">
        <w:rPr>
          <w:sz w:val="20"/>
          <w:szCs w:val="20"/>
          <w:rtl w:val="0"/>
        </w:rPr>
        <w:t xml:space="preserve">Consequences include:</w:t>
      </w:r>
    </w:p>
    <w:p w:rsidR="00000000" w:rsidDel="00000000" w:rsidP="00000000" w:rsidRDefault="00000000" w:rsidRPr="00000000" w14:paraId="00000021">
      <w:pPr>
        <w:jc w:val="both"/>
        <w:rPr>
          <w:sz w:val="20"/>
          <w:szCs w:val="20"/>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Bath and Wells MAT threatening  disciplinary action against staff who say sex is binary;</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 Daras MAT allowing  primary school children to transition without informing the parents unless the child consents ;</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Schools referring children to trans activist organisations without parental knowledge;</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Schools putting pressure on girls to share changing rooms with boys who claim to be girls;</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Schools affirming children as being  any gender they claim to be;</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75% of Church schools having fundamentally flawed policies and</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77" w:right="0"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Schools teaching children that sex is a spectrum , that gender identity is real and that if a boy says he is a girl then he is a girl. And children feeling afraid to raise any doubts</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77"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Numerous of the consequences raise fundamental safeguarding issues</w:t>
      </w:r>
    </w:p>
    <w:p w:rsidR="00000000" w:rsidDel="00000000" w:rsidP="00000000" w:rsidRDefault="00000000" w:rsidRPr="00000000" w14:paraId="0000002B">
      <w:pPr>
        <w:jc w:val="both"/>
        <w:rPr>
          <w:sz w:val="20"/>
          <w:szCs w:val="20"/>
        </w:rPr>
      </w:pPr>
      <w:r w:rsidDel="00000000" w:rsidR="00000000" w:rsidRPr="00000000">
        <w:rPr>
          <w:rtl w:val="0"/>
        </w:rPr>
      </w:r>
    </w:p>
    <w:p w:rsidR="00000000" w:rsidDel="00000000" w:rsidP="00000000" w:rsidRDefault="00000000" w:rsidRPr="00000000" w14:paraId="0000002C">
      <w:pPr>
        <w:jc w:val="both"/>
        <w:rPr>
          <w:b w:val="1"/>
          <w:sz w:val="20"/>
          <w:szCs w:val="20"/>
        </w:rPr>
      </w:pPr>
      <w:r w:rsidDel="00000000" w:rsidR="00000000" w:rsidRPr="00000000">
        <w:rPr>
          <w:b w:val="1"/>
          <w:sz w:val="20"/>
          <w:szCs w:val="20"/>
          <w:rtl w:val="0"/>
        </w:rPr>
        <w:t xml:space="preserve">We prepared the guidance to address bullying</w:t>
      </w:r>
    </w:p>
    <w:p w:rsidR="00000000" w:rsidDel="00000000" w:rsidP="00000000" w:rsidRDefault="00000000" w:rsidRPr="00000000" w14:paraId="0000002D">
      <w:pPr>
        <w:jc w:val="both"/>
        <w:rPr>
          <w:b w:val="1"/>
          <w:sz w:val="20"/>
          <w:szCs w:val="20"/>
        </w:rPr>
      </w:pPr>
      <w:r w:rsidDel="00000000" w:rsidR="00000000" w:rsidRPr="00000000">
        <w:rPr>
          <w:rtl w:val="0"/>
        </w:rPr>
      </w:r>
    </w:p>
    <w:p w:rsidR="00000000" w:rsidDel="00000000" w:rsidP="00000000" w:rsidRDefault="00000000" w:rsidRPr="00000000" w14:paraId="0000002E">
      <w:pPr>
        <w:jc w:val="both"/>
        <w:rPr>
          <w:i w:val="1"/>
          <w:sz w:val="20"/>
          <w:szCs w:val="20"/>
        </w:rPr>
      </w:pPr>
      <w:r w:rsidDel="00000000" w:rsidR="00000000" w:rsidRPr="00000000">
        <w:rPr>
          <w:sz w:val="20"/>
          <w:szCs w:val="20"/>
          <w:rtl w:val="0"/>
        </w:rPr>
        <w:t xml:space="preserve">We do not doubt this. But you were misled by Stonewall on the critical data</w:t>
      </w:r>
      <w:r w:rsidDel="00000000" w:rsidR="00000000" w:rsidRPr="00000000">
        <w:rPr>
          <w:i w:val="1"/>
          <w:sz w:val="20"/>
          <w:szCs w:val="20"/>
          <w:rtl w:val="0"/>
        </w:rPr>
        <w:t xml:space="preserve"> </w:t>
      </w:r>
    </w:p>
    <w:p w:rsidR="00000000" w:rsidDel="00000000" w:rsidP="00000000" w:rsidRDefault="00000000" w:rsidRPr="00000000" w14:paraId="0000002F">
      <w:pPr>
        <w:ind w:left="720" w:firstLine="0"/>
        <w:jc w:val="both"/>
        <w:rPr>
          <w:i w:val="1"/>
          <w:sz w:val="20"/>
          <w:szCs w:val="20"/>
        </w:rPr>
      </w:pPr>
      <w:r w:rsidDel="00000000" w:rsidR="00000000" w:rsidRPr="00000000">
        <w:rPr>
          <w:rtl w:val="0"/>
        </w:rPr>
      </w:r>
    </w:p>
    <w:p w:rsidR="00000000" w:rsidDel="00000000" w:rsidP="00000000" w:rsidRDefault="00000000" w:rsidRPr="00000000" w14:paraId="00000030">
      <w:pPr>
        <w:ind w:left="720" w:firstLine="0"/>
        <w:jc w:val="both"/>
        <w:rPr>
          <w:i w:val="1"/>
          <w:sz w:val="20"/>
          <w:szCs w:val="20"/>
        </w:rPr>
      </w:pPr>
      <w:r w:rsidDel="00000000" w:rsidR="00000000" w:rsidRPr="00000000">
        <w:rPr>
          <w:i w:val="1"/>
          <w:sz w:val="20"/>
          <w:szCs w:val="20"/>
          <w:rtl w:val="0"/>
        </w:rPr>
        <w:t xml:space="preserve">Suicide risk appears to be comparable to other young people with a similar range of mental health and psychosocial challenges. (p186)</w:t>
      </w:r>
    </w:p>
    <w:p w:rsidR="00000000" w:rsidDel="00000000" w:rsidP="00000000" w:rsidRDefault="00000000" w:rsidRPr="00000000" w14:paraId="00000031">
      <w:pPr>
        <w:jc w:val="both"/>
        <w:rPr>
          <w:sz w:val="20"/>
          <w:szCs w:val="20"/>
        </w:rPr>
      </w:pPr>
      <w:r w:rsidDel="00000000" w:rsidR="00000000" w:rsidRPr="00000000">
        <w:rPr>
          <w:rtl w:val="0"/>
        </w:rPr>
      </w:r>
    </w:p>
    <w:p w:rsidR="00000000" w:rsidDel="00000000" w:rsidP="00000000" w:rsidRDefault="00000000" w:rsidRPr="00000000" w14:paraId="00000032">
      <w:pPr>
        <w:jc w:val="both"/>
        <w:rPr>
          <w:color w:val="000000"/>
          <w:sz w:val="20"/>
          <w:szCs w:val="20"/>
        </w:rPr>
      </w:pPr>
      <w:r w:rsidDel="00000000" w:rsidR="00000000" w:rsidRPr="00000000">
        <w:rPr>
          <w:color w:val="000000"/>
          <w:sz w:val="20"/>
          <w:szCs w:val="20"/>
          <w:rtl w:val="0"/>
        </w:rPr>
        <w:t xml:space="preserve">Indeed, it might be said that if you wish to </w:t>
      </w:r>
      <w:r w:rsidDel="00000000" w:rsidR="00000000" w:rsidRPr="00000000">
        <w:rPr>
          <w:sz w:val="20"/>
          <w:szCs w:val="20"/>
          <w:rtl w:val="0"/>
        </w:rPr>
        <w:t xml:space="preserve">“V</w:t>
      </w:r>
      <w:r w:rsidDel="00000000" w:rsidR="00000000" w:rsidRPr="00000000">
        <w:rPr>
          <w:color w:val="000000"/>
          <w:sz w:val="20"/>
          <w:szCs w:val="20"/>
          <w:rtl w:val="0"/>
        </w:rPr>
        <w:t xml:space="preserve">alue </w:t>
      </w:r>
      <w:r w:rsidDel="00000000" w:rsidR="00000000" w:rsidRPr="00000000">
        <w:rPr>
          <w:b w:val="1"/>
          <w:sz w:val="20"/>
          <w:szCs w:val="20"/>
          <w:rtl w:val="0"/>
        </w:rPr>
        <w:t xml:space="preserve">ALL</w:t>
      </w:r>
      <w:r w:rsidDel="00000000" w:rsidR="00000000" w:rsidRPr="00000000">
        <w:rPr>
          <w:color w:val="000000"/>
          <w:sz w:val="20"/>
          <w:szCs w:val="20"/>
          <w:rtl w:val="0"/>
        </w:rPr>
        <w:t xml:space="preserve"> God's Children” that must include those who don't hold quasi-religious beliefs in gender. </w:t>
      </w:r>
      <w:r w:rsidDel="00000000" w:rsidR="00000000" w:rsidRPr="00000000">
        <w:rPr>
          <w:sz w:val="20"/>
          <w:szCs w:val="20"/>
          <w:rtl w:val="0"/>
        </w:rPr>
        <w:t xml:space="preserve">We suggest a replacement anti-bullying document which also prevents the emotional abuse facilitated by the current guidance. </w:t>
      </w:r>
      <w:r w:rsidDel="00000000" w:rsidR="00000000" w:rsidRPr="00000000">
        <w:rPr>
          <w:color w:val="000000"/>
          <w:sz w:val="20"/>
          <w:szCs w:val="20"/>
          <w:rtl w:val="0"/>
        </w:rPr>
        <w:t xml:space="preserve">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The Guidance does not promote a trans ideology</w:t>
      </w:r>
    </w:p>
    <w:p w:rsidR="00000000" w:rsidDel="00000000" w:rsidP="00000000" w:rsidRDefault="00000000" w:rsidRPr="00000000" w14:paraId="00000035">
      <w:pPr>
        <w:jc w:val="both"/>
        <w:rPr>
          <w:sz w:val="20"/>
          <w:szCs w:val="20"/>
        </w:rPr>
      </w:pPr>
      <w:r w:rsidDel="00000000" w:rsidR="00000000" w:rsidRPr="00000000">
        <w:rPr>
          <w:rtl w:val="0"/>
        </w:rPr>
      </w:r>
    </w:p>
    <w:p w:rsidR="00000000" w:rsidDel="00000000" w:rsidP="00000000" w:rsidRDefault="00000000" w:rsidRPr="00000000" w14:paraId="00000036">
      <w:pPr>
        <w:jc w:val="both"/>
        <w:rPr>
          <w:sz w:val="20"/>
          <w:szCs w:val="20"/>
        </w:rPr>
      </w:pPr>
      <w:r w:rsidDel="00000000" w:rsidR="00000000" w:rsidRPr="00000000">
        <w:rPr>
          <w:sz w:val="20"/>
          <w:szCs w:val="20"/>
          <w:rtl w:val="0"/>
        </w:rPr>
        <w:t xml:space="preserve">Please see the Glossary of Terms in the Guidance. This sets out the fundamental tenets of a trans ideology.</w:t>
      </w:r>
    </w:p>
    <w:p w:rsidR="00000000" w:rsidDel="00000000" w:rsidP="00000000" w:rsidRDefault="00000000" w:rsidRPr="00000000" w14:paraId="00000037">
      <w:pPr>
        <w:jc w:val="both"/>
        <w:rPr>
          <w:sz w:val="20"/>
          <w:szCs w:val="20"/>
        </w:rPr>
      </w:pPr>
      <w:r w:rsidDel="00000000" w:rsidR="00000000" w:rsidRPr="00000000">
        <w:rPr>
          <w:rtl w:val="0"/>
        </w:rPr>
      </w:r>
    </w:p>
    <w:p w:rsidR="00000000" w:rsidDel="00000000" w:rsidP="00000000" w:rsidRDefault="00000000" w:rsidRPr="00000000" w14:paraId="00000038">
      <w:pPr>
        <w:jc w:val="both"/>
        <w:rPr>
          <w:sz w:val="20"/>
          <w:szCs w:val="20"/>
        </w:rPr>
      </w:pPr>
      <w:r w:rsidDel="00000000" w:rsidR="00000000" w:rsidRPr="00000000">
        <w:rPr>
          <w:sz w:val="20"/>
          <w:szCs w:val="20"/>
          <w:rtl w:val="0"/>
        </w:rPr>
        <w:t xml:space="preserve">The Church is not only responsible for the Glossary but the foreseeable inferences that will be made from it. Please see Appendix 3 for inferences and implications. </w:t>
      </w:r>
    </w:p>
    <w:p w:rsidR="00000000" w:rsidDel="00000000" w:rsidP="00000000" w:rsidRDefault="00000000" w:rsidRPr="00000000" w14:paraId="00000039">
      <w:pPr>
        <w:jc w:val="both"/>
        <w:rPr>
          <w:sz w:val="20"/>
          <w:szCs w:val="20"/>
        </w:rPr>
      </w:pPr>
      <w:r w:rsidDel="00000000" w:rsidR="00000000" w:rsidRPr="00000000">
        <w:rPr>
          <w:rtl w:val="0"/>
        </w:rPr>
      </w:r>
    </w:p>
    <w:p w:rsidR="00000000" w:rsidDel="00000000" w:rsidP="00000000" w:rsidRDefault="00000000" w:rsidRPr="00000000" w14:paraId="0000003A">
      <w:pPr>
        <w:jc w:val="both"/>
        <w:rPr>
          <w:sz w:val="20"/>
          <w:szCs w:val="20"/>
        </w:rPr>
      </w:pPr>
      <w:r w:rsidDel="00000000" w:rsidR="00000000" w:rsidRPr="00000000">
        <w:rPr>
          <w:sz w:val="20"/>
          <w:szCs w:val="20"/>
          <w:rtl w:val="0"/>
        </w:rPr>
        <w:t xml:space="preserve">The Guidance authorises 1 million children to be taught that a man becomes a woman as a result of an internal feeling</w:t>
      </w:r>
    </w:p>
    <w:p w:rsidR="00000000" w:rsidDel="00000000" w:rsidP="00000000" w:rsidRDefault="00000000" w:rsidRPr="00000000" w14:paraId="0000003B">
      <w:pPr>
        <w:jc w:val="both"/>
        <w:rPr>
          <w:sz w:val="20"/>
          <w:szCs w:val="20"/>
        </w:rPr>
      </w:pPr>
      <w:r w:rsidDel="00000000" w:rsidR="00000000" w:rsidRPr="00000000">
        <w:rPr>
          <w:rtl w:val="0"/>
        </w:rPr>
      </w:r>
    </w:p>
    <w:p w:rsidR="00000000" w:rsidDel="00000000" w:rsidP="00000000" w:rsidRDefault="00000000" w:rsidRPr="00000000" w14:paraId="0000003C">
      <w:pPr>
        <w:jc w:val="both"/>
        <w:rPr>
          <w:sz w:val="20"/>
          <w:szCs w:val="20"/>
        </w:rPr>
      </w:pPr>
      <w:r w:rsidDel="00000000" w:rsidR="00000000" w:rsidRPr="00000000">
        <w:rPr>
          <w:sz w:val="20"/>
          <w:szCs w:val="20"/>
          <w:rtl w:val="0"/>
        </w:rPr>
        <w:t xml:space="preserve">If this is not trans ideology then we do not know what is</w:t>
      </w:r>
    </w:p>
    <w:p w:rsidR="00000000" w:rsidDel="00000000" w:rsidP="00000000" w:rsidRDefault="00000000" w:rsidRPr="00000000" w14:paraId="0000003D">
      <w:pPr>
        <w:jc w:val="both"/>
        <w:rPr>
          <w:sz w:val="20"/>
          <w:szCs w:val="20"/>
        </w:rPr>
      </w:pPr>
      <w:r w:rsidDel="00000000" w:rsidR="00000000" w:rsidRPr="00000000">
        <w:rPr>
          <w:rtl w:val="0"/>
        </w:rPr>
      </w:r>
    </w:p>
    <w:p w:rsidR="00000000" w:rsidDel="00000000" w:rsidP="00000000" w:rsidRDefault="00000000" w:rsidRPr="00000000" w14:paraId="0000003E">
      <w:pPr>
        <w:spacing w:line="276" w:lineRule="auto"/>
        <w:rPr>
          <w:sz w:val="20"/>
          <w:szCs w:val="20"/>
        </w:rPr>
      </w:pPr>
      <w:r w:rsidDel="00000000" w:rsidR="00000000" w:rsidRPr="00000000">
        <w:rPr>
          <w:sz w:val="20"/>
          <w:szCs w:val="20"/>
          <w:rtl w:val="0"/>
        </w:rPr>
        <w:t xml:space="preserve">You also link your response to the government consultation as evidence of your intent to update the guidance, but your response shows clear faith in gender identity ideology.</w:t>
      </w:r>
    </w:p>
    <w:p w:rsidR="00000000" w:rsidDel="00000000" w:rsidP="00000000" w:rsidRDefault="00000000" w:rsidRPr="00000000" w14:paraId="0000003F">
      <w:pPr>
        <w:spacing w:line="276" w:lineRule="auto"/>
        <w:rPr>
          <w:sz w:val="20"/>
          <w:szCs w:val="20"/>
        </w:rPr>
      </w:pPr>
      <w:r w:rsidDel="00000000" w:rsidR="00000000" w:rsidRPr="00000000">
        <w:rPr>
          <w:rtl w:val="0"/>
        </w:rPr>
      </w:r>
    </w:p>
    <w:p w:rsidR="00000000" w:rsidDel="00000000" w:rsidP="00000000" w:rsidRDefault="00000000" w:rsidRPr="00000000" w14:paraId="00000040">
      <w:pPr>
        <w:spacing w:line="276" w:lineRule="auto"/>
        <w:rPr>
          <w:i w:val="1"/>
          <w:sz w:val="20"/>
          <w:szCs w:val="20"/>
        </w:rPr>
      </w:pPr>
      <w:r w:rsidDel="00000000" w:rsidR="00000000" w:rsidRPr="00000000">
        <w:rPr>
          <w:i w:val="1"/>
          <w:sz w:val="20"/>
          <w:szCs w:val="20"/>
          <w:rtl w:val="0"/>
        </w:rPr>
        <w:t xml:space="preserve">We believe this is essential for the mental health of students who are ‘gender-questioning'.</w:t>
      </w:r>
    </w:p>
    <w:p w:rsidR="00000000" w:rsidDel="00000000" w:rsidP="00000000" w:rsidRDefault="00000000" w:rsidRPr="00000000" w14:paraId="00000041">
      <w:pPr>
        <w:spacing w:line="276" w:lineRule="auto"/>
        <w:rPr>
          <w:sz w:val="20"/>
          <w:szCs w:val="20"/>
        </w:rPr>
      </w:pPr>
      <w:r w:rsidDel="00000000" w:rsidR="00000000" w:rsidRPr="00000000">
        <w:rPr>
          <w:sz w:val="20"/>
          <w:szCs w:val="20"/>
          <w:rtl w:val="0"/>
        </w:rPr>
        <w:t xml:space="preserve">This is a trans activist position, as explained clearly in our previous communication. </w:t>
      </w:r>
    </w:p>
    <w:p w:rsidR="00000000" w:rsidDel="00000000" w:rsidP="00000000" w:rsidRDefault="00000000" w:rsidRPr="00000000" w14:paraId="00000042">
      <w:pPr>
        <w:jc w:val="both"/>
        <w:rPr>
          <w:sz w:val="20"/>
          <w:szCs w:val="20"/>
        </w:rPr>
      </w:pPr>
      <w:r w:rsidDel="00000000" w:rsidR="00000000" w:rsidRPr="00000000">
        <w:rPr>
          <w:rtl w:val="0"/>
        </w:rPr>
      </w:r>
    </w:p>
    <w:p w:rsidR="00000000" w:rsidDel="00000000" w:rsidP="00000000" w:rsidRDefault="00000000" w:rsidRPr="00000000" w14:paraId="00000043">
      <w:pPr>
        <w:jc w:val="both"/>
        <w:rPr>
          <w:b w:val="1"/>
          <w:sz w:val="20"/>
          <w:szCs w:val="20"/>
        </w:rPr>
      </w:pPr>
      <w:r w:rsidDel="00000000" w:rsidR="00000000" w:rsidRPr="00000000">
        <w:rPr>
          <w:b w:val="1"/>
          <w:sz w:val="20"/>
          <w:szCs w:val="20"/>
          <w:rtl w:val="0"/>
        </w:rPr>
        <w:t xml:space="preserve">When should the Guidance be updated?</w:t>
      </w:r>
    </w:p>
    <w:p w:rsidR="00000000" w:rsidDel="00000000" w:rsidP="00000000" w:rsidRDefault="00000000" w:rsidRPr="00000000" w14:paraId="00000044">
      <w:pPr>
        <w:jc w:val="both"/>
        <w:rPr>
          <w:b w:val="1"/>
          <w:sz w:val="20"/>
          <w:szCs w:val="20"/>
        </w:rPr>
      </w:pPr>
      <w:r w:rsidDel="00000000" w:rsidR="00000000" w:rsidRPr="00000000">
        <w:rPr>
          <w:rtl w:val="0"/>
        </w:rPr>
      </w:r>
    </w:p>
    <w:p w:rsidR="00000000" w:rsidDel="00000000" w:rsidP="00000000" w:rsidRDefault="00000000" w:rsidRPr="00000000" w14:paraId="00000045">
      <w:pPr>
        <w:jc w:val="both"/>
        <w:rPr>
          <w:sz w:val="20"/>
          <w:szCs w:val="20"/>
        </w:rPr>
      </w:pPr>
      <w:r w:rsidDel="00000000" w:rsidR="00000000" w:rsidRPr="00000000">
        <w:rPr>
          <w:sz w:val="20"/>
          <w:szCs w:val="20"/>
          <w:rtl w:val="0"/>
        </w:rPr>
        <w:t xml:space="preserve">You propose that the Guidance is updated when the  government guidance on gender questioning children is available.</w:t>
      </w:r>
    </w:p>
    <w:p w:rsidR="00000000" w:rsidDel="00000000" w:rsidP="00000000" w:rsidRDefault="00000000" w:rsidRPr="00000000" w14:paraId="00000046">
      <w:pPr>
        <w:jc w:val="both"/>
        <w:rPr>
          <w:sz w:val="20"/>
          <w:szCs w:val="20"/>
        </w:rPr>
      </w:pPr>
      <w:r w:rsidDel="00000000" w:rsidR="00000000" w:rsidRPr="00000000">
        <w:rPr>
          <w:rtl w:val="0"/>
        </w:rPr>
      </w:r>
    </w:p>
    <w:p w:rsidR="00000000" w:rsidDel="00000000" w:rsidP="00000000" w:rsidRDefault="00000000" w:rsidRPr="00000000" w14:paraId="00000047">
      <w:pPr>
        <w:jc w:val="both"/>
        <w:rPr>
          <w:sz w:val="20"/>
          <w:szCs w:val="20"/>
        </w:rPr>
      </w:pPr>
      <w:r w:rsidDel="00000000" w:rsidR="00000000" w:rsidRPr="00000000">
        <w:rPr>
          <w:sz w:val="20"/>
          <w:szCs w:val="20"/>
          <w:rtl w:val="0"/>
        </w:rPr>
        <w:t xml:space="preserve">But the Guidance promulgates a trans activist position, and the consequences include MATS breaching the Human Rights Act, and schools failing to meet their safeguarding responsibilities i.e., the Guidance is causing harm now and should be withdrawn now</w:t>
      </w:r>
    </w:p>
    <w:p w:rsidR="00000000" w:rsidDel="00000000" w:rsidP="00000000" w:rsidRDefault="00000000" w:rsidRPr="00000000" w14:paraId="00000048">
      <w:pPr>
        <w:jc w:val="both"/>
        <w:rPr>
          <w:sz w:val="20"/>
          <w:szCs w:val="20"/>
        </w:rPr>
      </w:pPr>
      <w:r w:rsidDel="00000000" w:rsidR="00000000" w:rsidRPr="00000000">
        <w:rPr>
          <w:rtl w:val="0"/>
        </w:rPr>
      </w:r>
    </w:p>
    <w:p w:rsidR="00000000" w:rsidDel="00000000" w:rsidP="00000000" w:rsidRDefault="00000000" w:rsidRPr="00000000" w14:paraId="00000049">
      <w:pPr>
        <w:jc w:val="both"/>
        <w:rPr>
          <w:b w:val="1"/>
          <w:sz w:val="20"/>
          <w:szCs w:val="20"/>
        </w:rPr>
      </w:pPr>
      <w:r w:rsidDel="00000000" w:rsidR="00000000" w:rsidRPr="00000000">
        <w:rPr>
          <w:b w:val="1"/>
          <w:sz w:val="20"/>
          <w:szCs w:val="20"/>
          <w:rtl w:val="0"/>
        </w:rPr>
        <w:t xml:space="preserve">Conclusion</w:t>
      </w:r>
    </w:p>
    <w:p w:rsidR="00000000" w:rsidDel="00000000" w:rsidP="00000000" w:rsidRDefault="00000000" w:rsidRPr="00000000" w14:paraId="0000004A">
      <w:pPr>
        <w:jc w:val="both"/>
        <w:rPr>
          <w:sz w:val="20"/>
          <w:szCs w:val="20"/>
        </w:rPr>
      </w:pPr>
      <w:r w:rsidDel="00000000" w:rsidR="00000000" w:rsidRPr="00000000">
        <w:rPr>
          <w:rtl w:val="0"/>
        </w:rPr>
      </w:r>
    </w:p>
    <w:p w:rsidR="00000000" w:rsidDel="00000000" w:rsidP="00000000" w:rsidRDefault="00000000" w:rsidRPr="00000000" w14:paraId="0000004B">
      <w:pPr>
        <w:jc w:val="both"/>
        <w:rPr>
          <w:color w:val="222222"/>
        </w:rPr>
      </w:pPr>
      <w:r w:rsidDel="00000000" w:rsidR="00000000" w:rsidRPr="00000000">
        <w:rPr>
          <w:sz w:val="20"/>
          <w:szCs w:val="20"/>
          <w:rtl w:val="0"/>
        </w:rPr>
        <w:t xml:space="preserve">The Church of England has been active in promoting trans activist ideology in schools The Church bears direct responsibility for some of the increase in gender confusion, depression and mental health problems in the young and also for unnecessary and harmful medical intervention including castration and mastectomies.</w:t>
      </w:r>
      <w:r w:rsidDel="00000000" w:rsidR="00000000" w:rsidRPr="00000000">
        <w:rPr>
          <w:rtl w:val="0"/>
        </w:rPr>
      </w:r>
    </w:p>
    <w:p w:rsidR="00000000" w:rsidDel="00000000" w:rsidP="00000000" w:rsidRDefault="00000000" w:rsidRPr="00000000" w14:paraId="0000004C">
      <w:pPr>
        <w:jc w:val="both"/>
        <w:rPr>
          <w:color w:val="222222"/>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D">
      <w:pPr>
        <w:jc w:val="both"/>
        <w:rPr>
          <w:sz w:val="20"/>
          <w:szCs w:val="20"/>
        </w:rPr>
      </w:pPr>
      <w:r w:rsidDel="00000000" w:rsidR="00000000" w:rsidRPr="00000000">
        <w:rPr>
          <w:sz w:val="20"/>
          <w:szCs w:val="20"/>
          <w:rtl w:val="0"/>
        </w:rPr>
        <w:t xml:space="preserve">For the sake of 1 million children please withdraw the Guidance.</w:t>
      </w:r>
    </w:p>
    <w:p w:rsidR="00000000" w:rsidDel="00000000" w:rsidP="00000000" w:rsidRDefault="00000000" w:rsidRPr="00000000" w14:paraId="0000004E">
      <w:pPr>
        <w:jc w:val="both"/>
        <w:rPr>
          <w:sz w:val="20"/>
          <w:szCs w:val="20"/>
        </w:rPr>
      </w:pPr>
      <w:r w:rsidDel="00000000" w:rsidR="00000000" w:rsidRPr="00000000">
        <w:rPr>
          <w:rtl w:val="0"/>
        </w:rPr>
      </w:r>
    </w:p>
    <w:p w:rsidR="00000000" w:rsidDel="00000000" w:rsidP="00000000" w:rsidRDefault="00000000" w:rsidRPr="00000000" w14:paraId="0000004F">
      <w:pPr>
        <w:jc w:val="both"/>
        <w:rPr>
          <w:b w:val="1"/>
          <w:sz w:val="20"/>
          <w:szCs w:val="20"/>
        </w:rPr>
      </w:pPr>
      <w:r w:rsidDel="00000000" w:rsidR="00000000" w:rsidRPr="00000000">
        <w:rPr>
          <w:b w:val="1"/>
          <w:sz w:val="20"/>
          <w:szCs w:val="20"/>
          <w:rtl w:val="0"/>
        </w:rPr>
        <w:t xml:space="preserve">Protect and Teach </w:t>
      </w:r>
    </w:p>
    <w:p w:rsidR="00000000" w:rsidDel="00000000" w:rsidP="00000000" w:rsidRDefault="00000000" w:rsidRPr="00000000" w14:paraId="00000050">
      <w:pPr>
        <w:jc w:val="both"/>
        <w:rPr>
          <w:sz w:val="20"/>
          <w:szCs w:val="20"/>
        </w:rPr>
      </w:pPr>
      <w:r w:rsidDel="00000000" w:rsidR="00000000" w:rsidRPr="00000000">
        <w:rPr>
          <w:rtl w:val="0"/>
        </w:rPr>
      </w:r>
    </w:p>
    <w:p w:rsidR="00000000" w:rsidDel="00000000" w:rsidP="00000000" w:rsidRDefault="00000000" w:rsidRPr="00000000" w14:paraId="00000051">
      <w:pPr>
        <w:jc w:val="both"/>
        <w:rPr>
          <w:sz w:val="20"/>
          <w:szCs w:val="20"/>
        </w:rPr>
      </w:pPr>
      <w:r w:rsidDel="00000000" w:rsidR="00000000" w:rsidRPr="00000000">
        <w:rPr>
          <w:sz w:val="20"/>
          <w:szCs w:val="20"/>
          <w:rtl w:val="0"/>
        </w:rPr>
        <w:t xml:space="preserve">Catherine Mudge</w:t>
      </w:r>
    </w:p>
    <w:p w:rsidR="00000000" w:rsidDel="00000000" w:rsidP="00000000" w:rsidRDefault="00000000" w:rsidRPr="00000000" w14:paraId="00000052">
      <w:pPr>
        <w:jc w:val="both"/>
        <w:rPr>
          <w:sz w:val="20"/>
          <w:szCs w:val="20"/>
        </w:rPr>
      </w:pPr>
      <w:r w:rsidDel="00000000" w:rsidR="00000000" w:rsidRPr="00000000">
        <w:rPr>
          <w:sz w:val="20"/>
          <w:szCs w:val="20"/>
          <w:rtl w:val="0"/>
        </w:rPr>
        <w:t xml:space="preserve">Gillian Blick</w:t>
      </w:r>
    </w:p>
    <w:p w:rsidR="00000000" w:rsidDel="00000000" w:rsidP="00000000" w:rsidRDefault="00000000" w:rsidRPr="00000000" w14:paraId="00000053">
      <w:pPr>
        <w:jc w:val="both"/>
        <w:rPr>
          <w:sz w:val="20"/>
          <w:szCs w:val="20"/>
        </w:rPr>
      </w:pPr>
      <w:r w:rsidDel="00000000" w:rsidR="00000000" w:rsidRPr="00000000">
        <w:rPr>
          <w:sz w:val="20"/>
          <w:szCs w:val="20"/>
          <w:rtl w:val="0"/>
        </w:rPr>
        <w:t xml:space="preserve">Jenny Dingsdale</w:t>
      </w:r>
    </w:p>
    <w:p w:rsidR="00000000" w:rsidDel="00000000" w:rsidP="00000000" w:rsidRDefault="00000000" w:rsidRPr="00000000" w14:paraId="00000054">
      <w:pPr>
        <w:jc w:val="both"/>
        <w:rPr>
          <w:sz w:val="20"/>
          <w:szCs w:val="20"/>
        </w:rPr>
      </w:pPr>
      <w:r w:rsidDel="00000000" w:rsidR="00000000" w:rsidRPr="00000000">
        <w:rPr>
          <w:sz w:val="20"/>
          <w:szCs w:val="20"/>
          <w:rtl w:val="0"/>
        </w:rPr>
        <w:t xml:space="preserve">Julie Shepherd</w:t>
      </w:r>
    </w:p>
    <w:p w:rsidR="00000000" w:rsidDel="00000000" w:rsidP="00000000" w:rsidRDefault="00000000" w:rsidRPr="00000000" w14:paraId="00000055">
      <w:pPr>
        <w:jc w:val="both"/>
        <w:rPr>
          <w:sz w:val="20"/>
          <w:szCs w:val="20"/>
        </w:rPr>
      </w:pPr>
      <w:r w:rsidDel="00000000" w:rsidR="00000000" w:rsidRPr="00000000">
        <w:rPr>
          <w:sz w:val="20"/>
          <w:szCs w:val="20"/>
          <w:rtl w:val="0"/>
        </w:rPr>
        <w:t xml:space="preserve">Thomas Bair</w:t>
      </w:r>
    </w:p>
    <w:p w:rsidR="00000000" w:rsidDel="00000000" w:rsidP="00000000" w:rsidRDefault="00000000" w:rsidRPr="00000000" w14:paraId="00000056">
      <w:pPr>
        <w:jc w:val="both"/>
        <w:rPr>
          <w:sz w:val="20"/>
          <w:szCs w:val="20"/>
        </w:rPr>
      </w:pPr>
      <w:r w:rsidDel="00000000" w:rsidR="00000000" w:rsidRPr="00000000">
        <w:rPr/>
        <w:drawing>
          <wp:inline distB="114300" distT="114300" distL="114300" distR="114300">
            <wp:extent cx="4888381" cy="1128713"/>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888381" cy="1128713"/>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jc w:val="both"/>
        <w:rPr/>
      </w:pPr>
      <w:r w:rsidDel="00000000" w:rsidR="00000000" w:rsidRPr="00000000">
        <w:rPr>
          <w:rtl w:val="0"/>
        </w:rPr>
      </w:r>
    </w:p>
    <w:p w:rsidR="00000000" w:rsidDel="00000000" w:rsidP="00000000" w:rsidRDefault="00000000" w:rsidRPr="00000000" w14:paraId="00000058">
      <w:pPr>
        <w:jc w:val="both"/>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77" w:hanging="360"/>
      </w:pPr>
      <w:rPr>
        <w:rFonts w:ascii="Noto Sans Symbols" w:cs="Noto Sans Symbols" w:eastAsia="Noto Sans Symbols" w:hAnsi="Noto Sans Symbols"/>
      </w:rPr>
    </w:lvl>
    <w:lvl w:ilvl="1">
      <w:start w:val="1"/>
      <w:numFmt w:val="bullet"/>
      <w:lvlText w:val="o"/>
      <w:lvlJc w:val="left"/>
      <w:pPr>
        <w:ind w:left="1497" w:hanging="360"/>
      </w:pPr>
      <w:rPr>
        <w:rFonts w:ascii="Courier New" w:cs="Courier New" w:eastAsia="Courier New" w:hAnsi="Courier New"/>
      </w:rPr>
    </w:lvl>
    <w:lvl w:ilvl="2">
      <w:start w:val="1"/>
      <w:numFmt w:val="bullet"/>
      <w:lvlText w:val="▪"/>
      <w:lvlJc w:val="left"/>
      <w:pPr>
        <w:ind w:left="2217" w:hanging="360"/>
      </w:pPr>
      <w:rPr>
        <w:rFonts w:ascii="Noto Sans Symbols" w:cs="Noto Sans Symbols" w:eastAsia="Noto Sans Symbols" w:hAnsi="Noto Sans Symbols"/>
      </w:rPr>
    </w:lvl>
    <w:lvl w:ilvl="3">
      <w:start w:val="1"/>
      <w:numFmt w:val="bullet"/>
      <w:lvlText w:val="●"/>
      <w:lvlJc w:val="left"/>
      <w:pPr>
        <w:ind w:left="2937" w:hanging="360"/>
      </w:pPr>
      <w:rPr>
        <w:rFonts w:ascii="Noto Sans Symbols" w:cs="Noto Sans Symbols" w:eastAsia="Noto Sans Symbols" w:hAnsi="Noto Sans Symbols"/>
      </w:rPr>
    </w:lvl>
    <w:lvl w:ilvl="4">
      <w:start w:val="1"/>
      <w:numFmt w:val="bullet"/>
      <w:lvlText w:val="o"/>
      <w:lvlJc w:val="left"/>
      <w:pPr>
        <w:ind w:left="3657" w:hanging="360"/>
      </w:pPr>
      <w:rPr>
        <w:rFonts w:ascii="Courier New" w:cs="Courier New" w:eastAsia="Courier New" w:hAnsi="Courier New"/>
      </w:rPr>
    </w:lvl>
    <w:lvl w:ilvl="5">
      <w:start w:val="1"/>
      <w:numFmt w:val="bullet"/>
      <w:lvlText w:val="▪"/>
      <w:lvlJc w:val="left"/>
      <w:pPr>
        <w:ind w:left="4377" w:hanging="360"/>
      </w:pPr>
      <w:rPr>
        <w:rFonts w:ascii="Noto Sans Symbols" w:cs="Noto Sans Symbols" w:eastAsia="Noto Sans Symbols" w:hAnsi="Noto Sans Symbols"/>
      </w:rPr>
    </w:lvl>
    <w:lvl w:ilvl="6">
      <w:start w:val="1"/>
      <w:numFmt w:val="bullet"/>
      <w:lvlText w:val="●"/>
      <w:lvlJc w:val="left"/>
      <w:pPr>
        <w:ind w:left="5097" w:hanging="360"/>
      </w:pPr>
      <w:rPr>
        <w:rFonts w:ascii="Noto Sans Symbols" w:cs="Noto Sans Symbols" w:eastAsia="Noto Sans Symbols" w:hAnsi="Noto Sans Symbols"/>
      </w:rPr>
    </w:lvl>
    <w:lvl w:ilvl="7">
      <w:start w:val="1"/>
      <w:numFmt w:val="bullet"/>
      <w:lvlText w:val="o"/>
      <w:lvlJc w:val="left"/>
      <w:pPr>
        <w:ind w:left="5817" w:hanging="360"/>
      </w:pPr>
      <w:rPr>
        <w:rFonts w:ascii="Courier New" w:cs="Courier New" w:eastAsia="Courier New" w:hAnsi="Courier New"/>
      </w:rPr>
    </w:lvl>
    <w:lvl w:ilvl="8">
      <w:start w:val="1"/>
      <w:numFmt w:val="bullet"/>
      <w:lvlText w:val="▪"/>
      <w:lvlJc w:val="left"/>
      <w:pPr>
        <w:ind w:left="6537"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763BEB"/>
    <w:rPr>
      <w:color w:val="0563c1" w:themeColor="hyperlink"/>
      <w:u w:val="single"/>
    </w:rPr>
  </w:style>
  <w:style w:type="character" w:styleId="UnresolvedMention">
    <w:name w:val="Unresolved Mention"/>
    <w:basedOn w:val="DefaultParagraphFont"/>
    <w:uiPriority w:val="99"/>
    <w:semiHidden w:val="1"/>
    <w:unhideWhenUsed w:val="1"/>
    <w:rsid w:val="00763BEB"/>
    <w:rPr>
      <w:color w:val="605e5c"/>
      <w:shd w:color="auto" w:fill="e1dfdd" w:val="clear"/>
    </w:rPr>
  </w:style>
  <w:style w:type="paragraph" w:styleId="ListParagraph">
    <w:name w:val="List Paragraph"/>
    <w:basedOn w:val="Normal"/>
    <w:uiPriority w:val="34"/>
    <w:qFormat w:val="1"/>
    <w:rsid w:val="00763BEB"/>
    <w:pPr>
      <w:ind w:left="720"/>
      <w:contextualSpacing w:val="1"/>
    </w:pPr>
  </w:style>
  <w:style w:type="paragraph" w:styleId="NormalWeb">
    <w:name w:val="Normal (Web)"/>
    <w:basedOn w:val="Normal"/>
    <w:uiPriority w:val="99"/>
    <w:semiHidden w:val="1"/>
    <w:unhideWhenUsed w:val="1"/>
    <w:rsid w:val="00763BEB"/>
    <w:rPr>
      <w:rFonts w:ascii="Times New Roman" w:cs="Times New Roman" w:hAnsi="Times New Roman"/>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gov.uk/government/publications/public-sector-equality-duty-guidance-for-public-authorities" TargetMode="External"/><Relationship Id="rId10" Type="http://schemas.openxmlformats.org/officeDocument/2006/relationships/hyperlink" Target="https://www.cbcew.org.uk/pastoral-reflection-intricately-woven-by-the-lord/" TargetMode="External"/><Relationship Id="rId12" Type="http://schemas.openxmlformats.org/officeDocument/2006/relationships/hyperlink" Target="https://assets.publishing.service.gov.uk/media/64f0a68ea78c5f000dc6f3b2/Keeping_children_safe_in_education_2023.pdf" TargetMode="External"/><Relationship Id="rId9" Type="http://schemas.openxmlformats.org/officeDocument/2006/relationships/hyperlink" Target="https://www.psephizo.com/sexuality-2/gender-identity-and-the-christian-vision-of-humanity/"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protectteach@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eAxi5HU9XyE/MRFLEHk0zUKFHQ==">CgMxLjA4AHIhMXYyYi1hRE1DeHdJX3VUZzA5c2thOG50TDZ5a0Utdk9M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2024-05-08T14:51:00Z</dcterms:created>
  <dc:creator>Stephen Mcnamara</dc:creator>
</cp:coreProperties>
</file>